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Digital Innovation &amp; Content Coordinator</w:t>
      </w:r>
    </w:p>
    <w:p>
      <w:pPr>
        <w:pBdr>
          <w:bottom w:val="single" w:color="1F5C4A" w:sz="6" w:space="4"/>
        </w:pBdr>
        <w:spacing w:after="200"/>
      </w:pPr>
      <w:r>
        <w:rPr>
          <w:color w:val="666666"/>
          <w:sz w:val="20"/>
          <w:szCs w:val="20"/>
        </w:rPr>
        <w:t xml:space="preserve">Role Description  |  Australasian Metabolic Health Society (AMHS)  |  September 2026</w:t>
      </w:r>
    </w:p>
    <w:p>
      <w:pPr>
        <w:pStyle w:val="Heading2"/>
      </w:pPr>
      <w:r>
        <w:t xml:space="preserve">Role at a glance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400"/>
        <w:gridCol w:w="6626"/>
      </w:tblGrid>
      <w:tr>
        <w:tc>
          <w:tcPr>
            <w:tcW w:type="dxa" w:w="2400"/>
            <w:tcBorders>
              <w:top w:val="single" w:color="CCCCCC" w:sz="4"/>
              <w:left w:val="single" w:color="CCCCCC" w:sz="4"/>
              <w:bottom w:val="single" w:color="CCCCCC" w:sz="4"/>
              <w:right w:val="single" w:color="CCCCCC" w:sz="4"/>
            </w:tcBorders>
            <w:shd w:fill="E8F1EE" w:color="auto" w:val="clear"/>
            <w:tcMar>
              <w:top w:type="dxa" w:w="80"/>
              <w:left w:type="dxa" w:w="120"/>
              <w:bottom w:type="dxa" w:w="80"/>
              <w:right w:type="dxa" w:w="120"/>
            </w:tcMar>
          </w:tcPr>
          <w:p>
            <w:r>
              <w:rPr>
                <w:b/>
                <w:bCs/>
              </w:rPr>
              <w:t xml:space="preserve">Role</w:t>
            </w:r>
          </w:p>
        </w:tc>
        <w:tc>
          <w:tcPr>
            <w:tcW w:type="dxa" w:w="6626"/>
            <w:tcBorders>
              <w:top w:val="single" w:color="CCCCCC" w:sz="4"/>
              <w:left w:val="single" w:color="CCCCCC" w:sz="4"/>
              <w:bottom w:val="single" w:color="CCCCCC" w:sz="4"/>
              <w:right w:val="single" w:color="CCCCCC" w:sz="4"/>
            </w:tcBorders>
            <w:tcMar>
              <w:top w:type="dxa" w:w="80"/>
              <w:left w:type="dxa" w:w="120"/>
              <w:bottom w:type="dxa" w:w="80"/>
              <w:right w:type="dxa" w:w="120"/>
            </w:tcMar>
          </w:tcPr>
          <w:p>
            <w:r>
              <w:t xml:space="preserve">Digital Innovation &amp; Content Coordinator</w:t>
            </w:r>
          </w:p>
        </w:tc>
      </w:tr>
      <w:tr>
        <w:tc>
          <w:tcPr>
            <w:tcW w:type="dxa" w:w="2400"/>
            <w:tcBorders>
              <w:top w:val="single" w:color="CCCCCC" w:sz="4"/>
              <w:left w:val="single" w:color="CCCCCC" w:sz="4"/>
              <w:bottom w:val="single" w:color="CCCCCC" w:sz="4"/>
              <w:right w:val="single" w:color="CCCCCC" w:sz="4"/>
            </w:tcBorders>
            <w:shd w:fill="E8F1EE" w:color="auto" w:val="clear"/>
            <w:tcMar>
              <w:top w:type="dxa" w:w="80"/>
              <w:left w:type="dxa" w:w="120"/>
              <w:bottom w:type="dxa" w:w="80"/>
              <w:right w:type="dxa" w:w="120"/>
            </w:tcMar>
          </w:tcPr>
          <w:p>
            <w:r>
              <w:rPr>
                <w:b/>
                <w:bCs/>
              </w:rPr>
              <w:t xml:space="preserve">Organisation</w:t>
            </w:r>
          </w:p>
        </w:tc>
        <w:tc>
          <w:tcPr>
            <w:tcW w:type="dxa" w:w="6626"/>
            <w:tcBorders>
              <w:top w:val="single" w:color="CCCCCC" w:sz="4"/>
              <w:left w:val="single" w:color="CCCCCC" w:sz="4"/>
              <w:bottom w:val="single" w:color="CCCCCC" w:sz="4"/>
              <w:right w:val="single" w:color="CCCCCC" w:sz="4"/>
            </w:tcBorders>
            <w:tcMar>
              <w:top w:type="dxa" w:w="80"/>
              <w:left w:type="dxa" w:w="120"/>
              <w:bottom w:type="dxa" w:w="80"/>
              <w:right w:type="dxa" w:w="120"/>
            </w:tcMar>
          </w:tcPr>
          <w:p>
            <w:r>
              <w:t xml:space="preserve">Australasian Metabolic Health Society (AMHS)</w:t>
            </w:r>
          </w:p>
        </w:tc>
      </w:tr>
      <w:tr>
        <w:tc>
          <w:tcPr>
            <w:tcW w:type="dxa" w:w="2400"/>
            <w:tcBorders>
              <w:top w:val="single" w:color="CCCCCC" w:sz="4"/>
              <w:left w:val="single" w:color="CCCCCC" w:sz="4"/>
              <w:bottom w:val="single" w:color="CCCCCC" w:sz="4"/>
              <w:right w:val="single" w:color="CCCCCC" w:sz="4"/>
            </w:tcBorders>
            <w:shd w:fill="E8F1EE" w:color="auto" w:val="clear"/>
            <w:tcMar>
              <w:top w:type="dxa" w:w="80"/>
              <w:left w:type="dxa" w:w="120"/>
              <w:bottom w:type="dxa" w:w="80"/>
              <w:right w:type="dxa" w:w="120"/>
            </w:tcMar>
          </w:tcPr>
          <w:p>
            <w:r>
              <w:rPr>
                <w:b/>
                <w:bCs/>
              </w:rPr>
              <w:t xml:space="preserve">Hours</w:t>
            </w:r>
          </w:p>
        </w:tc>
        <w:tc>
          <w:tcPr>
            <w:tcW w:type="dxa" w:w="6626"/>
            <w:tcBorders>
              <w:top w:val="single" w:color="CCCCCC" w:sz="4"/>
              <w:left w:val="single" w:color="CCCCCC" w:sz="4"/>
              <w:bottom w:val="single" w:color="CCCCCC" w:sz="4"/>
              <w:right w:val="single" w:color="CCCCCC" w:sz="4"/>
            </w:tcBorders>
            <w:tcMar>
              <w:top w:type="dxa" w:w="80"/>
              <w:left w:type="dxa" w:w="120"/>
              <w:bottom w:type="dxa" w:w="80"/>
              <w:right w:type="dxa" w:w="120"/>
            </w:tcMar>
          </w:tcPr>
          <w:p>
            <w:r>
              <w:t xml:space="preserve">Part-time, 2.5 days per week (0.5 FTE, 19 hours), flexible across the week</w:t>
            </w:r>
          </w:p>
        </w:tc>
      </w:tr>
      <w:tr>
        <w:tc>
          <w:tcPr>
            <w:tcW w:type="dxa" w:w="2400"/>
            <w:tcBorders>
              <w:top w:val="single" w:color="CCCCCC" w:sz="4"/>
              <w:left w:val="single" w:color="CCCCCC" w:sz="4"/>
              <w:bottom w:val="single" w:color="CCCCCC" w:sz="4"/>
              <w:right w:val="single" w:color="CCCCCC" w:sz="4"/>
            </w:tcBorders>
            <w:shd w:fill="E8F1EE" w:color="auto" w:val="clear"/>
            <w:tcMar>
              <w:top w:type="dxa" w:w="80"/>
              <w:left w:type="dxa" w:w="120"/>
              <w:bottom w:type="dxa" w:w="80"/>
              <w:right w:type="dxa" w:w="120"/>
            </w:tcMar>
          </w:tcPr>
          <w:p>
            <w:r>
              <w:rPr>
                <w:b/>
                <w:bCs/>
              </w:rPr>
              <w:t xml:space="preserve">Location</w:t>
            </w:r>
          </w:p>
        </w:tc>
        <w:tc>
          <w:tcPr>
            <w:tcW w:type="dxa" w:w="6626"/>
            <w:tcBorders>
              <w:top w:val="single" w:color="CCCCCC" w:sz="4"/>
              <w:left w:val="single" w:color="CCCCCC" w:sz="4"/>
              <w:bottom w:val="single" w:color="CCCCCC" w:sz="4"/>
              <w:right w:val="single" w:color="CCCCCC" w:sz="4"/>
            </w:tcBorders>
            <w:tcMar>
              <w:top w:type="dxa" w:w="80"/>
              <w:left w:type="dxa" w:w="120"/>
              <w:bottom w:type="dxa" w:w="80"/>
              <w:right w:type="dxa" w:w="120"/>
            </w:tcMar>
          </w:tcPr>
          <w:p>
            <w:r>
              <w:t xml:space="preserve">Fully remote (Australia only)</w:t>
            </w:r>
          </w:p>
        </w:tc>
      </w:tr>
      <w:tr>
        <w:tc>
          <w:tcPr>
            <w:tcW w:type="dxa" w:w="2400"/>
            <w:tcBorders>
              <w:top w:val="single" w:color="CCCCCC" w:sz="4"/>
              <w:left w:val="single" w:color="CCCCCC" w:sz="4"/>
              <w:bottom w:val="single" w:color="CCCCCC" w:sz="4"/>
              <w:right w:val="single" w:color="CCCCCC" w:sz="4"/>
            </w:tcBorders>
            <w:shd w:fill="E8F1EE" w:color="auto" w:val="clear"/>
            <w:tcMar>
              <w:top w:type="dxa" w:w="80"/>
              <w:left w:type="dxa" w:w="120"/>
              <w:bottom w:type="dxa" w:w="80"/>
              <w:right w:type="dxa" w:w="120"/>
            </w:tcMar>
          </w:tcPr>
          <w:p>
            <w:r>
              <w:rPr>
                <w:b/>
                <w:bCs/>
              </w:rPr>
              <w:t xml:space="preserve">Reports to</w:t>
            </w:r>
          </w:p>
        </w:tc>
        <w:tc>
          <w:tcPr>
            <w:tcW w:type="dxa" w:w="6626"/>
            <w:tcBorders>
              <w:top w:val="single" w:color="CCCCCC" w:sz="4"/>
              <w:left w:val="single" w:color="CCCCCC" w:sz="4"/>
              <w:bottom w:val="single" w:color="CCCCCC" w:sz="4"/>
              <w:right w:val="single" w:color="CCCCCC" w:sz="4"/>
            </w:tcBorders>
            <w:tcMar>
              <w:top w:type="dxa" w:w="80"/>
              <w:left w:type="dxa" w:w="120"/>
              <w:bottom w:type="dxa" w:w="80"/>
              <w:right w:type="dxa" w:w="120"/>
            </w:tcMar>
          </w:tcPr>
          <w:p>
            <w:r>
              <w:t xml:space="preserve">CEO</w:t>
            </w:r>
          </w:p>
        </w:tc>
      </w:tr>
      <w:tr>
        <w:tc>
          <w:tcPr>
            <w:tcW w:type="dxa" w:w="2400"/>
            <w:tcBorders>
              <w:top w:val="single" w:color="CCCCCC" w:sz="4"/>
              <w:left w:val="single" w:color="CCCCCC" w:sz="4"/>
              <w:bottom w:val="single" w:color="CCCCCC" w:sz="4"/>
              <w:right w:val="single" w:color="CCCCCC" w:sz="4"/>
            </w:tcBorders>
            <w:shd w:fill="E8F1EE" w:color="auto" w:val="clear"/>
            <w:tcMar>
              <w:top w:type="dxa" w:w="80"/>
              <w:left w:type="dxa" w:w="120"/>
              <w:bottom w:type="dxa" w:w="80"/>
              <w:right w:type="dxa" w:w="120"/>
            </w:tcMar>
          </w:tcPr>
          <w:p>
            <w:r>
              <w:rPr>
                <w:b/>
                <w:bCs/>
              </w:rPr>
              <w:t xml:space="preserve">Engagement</w:t>
            </w:r>
          </w:p>
        </w:tc>
        <w:tc>
          <w:tcPr>
            <w:tcW w:type="dxa" w:w="6626"/>
            <w:tcBorders>
              <w:top w:val="single" w:color="CCCCCC" w:sz="4"/>
              <w:left w:val="single" w:color="CCCCCC" w:sz="4"/>
              <w:bottom w:val="single" w:color="CCCCCC" w:sz="4"/>
              <w:right w:val="single" w:color="CCCCCC" w:sz="4"/>
            </w:tcBorders>
            <w:tcMar>
              <w:top w:type="dxa" w:w="80"/>
              <w:left w:type="dxa" w:w="120"/>
              <w:bottom w:type="dxa" w:w="80"/>
              <w:right w:type="dxa" w:w="120"/>
            </w:tcMar>
          </w:tcPr>
          <w:p>
            <w:r>
              <w:t xml:space="preserve">Paid, permanent part-time, with a 6-month probation period</w:t>
            </w:r>
          </w:p>
        </w:tc>
      </w:tr>
      <w:tr>
        <w:tc>
          <w:tcPr>
            <w:tcW w:type="dxa" w:w="2400"/>
            <w:tcBorders>
              <w:top w:val="single" w:color="CCCCCC" w:sz="4"/>
              <w:left w:val="single" w:color="CCCCCC" w:sz="4"/>
              <w:bottom w:val="single" w:color="CCCCCC" w:sz="4"/>
              <w:right w:val="single" w:color="CCCCCC" w:sz="4"/>
            </w:tcBorders>
            <w:shd w:fill="E8F1EE" w:color="auto" w:val="clear"/>
            <w:tcMar>
              <w:top w:type="dxa" w:w="80"/>
              <w:left w:type="dxa" w:w="120"/>
              <w:bottom w:type="dxa" w:w="80"/>
              <w:right w:type="dxa" w:w="120"/>
            </w:tcMar>
          </w:tcPr>
          <w:p>
            <w:r>
              <w:rPr>
                <w:b/>
                <w:bCs/>
              </w:rPr>
              <w:t xml:space="preserve">Remuneration</w:t>
            </w:r>
          </w:p>
        </w:tc>
        <w:tc>
          <w:tcPr>
            <w:tcW w:type="dxa" w:w="6626"/>
            <w:tcBorders>
              <w:top w:val="single" w:color="CCCCCC" w:sz="4"/>
              <w:left w:val="single" w:color="CCCCCC" w:sz="4"/>
              <w:bottom w:val="single" w:color="CCCCCC" w:sz="4"/>
              <w:right w:val="single" w:color="CCCCCC" w:sz="4"/>
            </w:tcBorders>
            <w:tcMar>
              <w:top w:type="dxa" w:w="80"/>
              <w:left w:type="dxa" w:w="120"/>
              <w:bottom w:type="dxa" w:w="80"/>
              <w:right w:type="dxa" w:w="120"/>
            </w:tcMar>
          </w:tcPr>
          <w:p>
            <w:r>
              <w:t xml:space="preserve">SCHADS Award Level 4, pay point 1 (Social and Community Services stream): $46.70 per hour ($46,140 a year pro rata) plus superannuation</w:t>
            </w:r>
          </w:p>
        </w:tc>
      </w:tr>
      <w:tr>
        <w:tc>
          <w:tcPr>
            <w:tcW w:type="dxa" w:w="2400"/>
            <w:tcBorders>
              <w:top w:val="single" w:color="CCCCCC" w:sz="4"/>
              <w:left w:val="single" w:color="CCCCCC" w:sz="4"/>
              <w:bottom w:val="single" w:color="CCCCCC" w:sz="4"/>
              <w:right w:val="single" w:color="CCCCCC" w:sz="4"/>
            </w:tcBorders>
            <w:shd w:fill="E8F1EE" w:color="auto" w:val="clear"/>
            <w:tcMar>
              <w:top w:type="dxa" w:w="80"/>
              <w:left w:type="dxa" w:w="120"/>
              <w:bottom w:type="dxa" w:w="80"/>
              <w:right w:type="dxa" w:w="120"/>
            </w:tcMar>
          </w:tcPr>
          <w:p>
            <w:r>
              <w:rPr>
                <w:b/>
                <w:bCs/>
              </w:rPr>
              <w:t xml:space="preserve">Applications close</w:t>
            </w:r>
          </w:p>
        </w:tc>
        <w:tc>
          <w:tcPr>
            <w:tcW w:type="dxa" w:w="6626"/>
            <w:tcBorders>
              <w:top w:val="single" w:color="CCCCCC" w:sz="4"/>
              <w:left w:val="single" w:color="CCCCCC" w:sz="4"/>
              <w:bottom w:val="single" w:color="CCCCCC" w:sz="4"/>
              <w:right w:val="single" w:color="CCCCCC" w:sz="4"/>
            </w:tcBorders>
            <w:tcMar>
              <w:top w:type="dxa" w:w="80"/>
              <w:left w:type="dxa" w:w="120"/>
              <w:bottom w:type="dxa" w:w="80"/>
              <w:right w:type="dxa" w:w="120"/>
            </w:tcMar>
          </w:tcPr>
          <w:p>
            <w:r>
              <w:t xml:space="preserve">Wednesday 21 October 2026</w:t>
            </w:r>
          </w:p>
        </w:tc>
      </w:tr>
    </w:tbl>
    <w:p>
      <w:pPr>
        <w:pStyle w:val="Heading2"/>
      </w:pPr>
      <w:r>
        <w:t xml:space="preserve">About AMHS</w:t>
      </w:r>
    </w:p>
    <w:p>
      <w:pPr>
        <w:spacing w:after="120"/>
      </w:pPr>
      <w:r>
        <w:t xml:space="preserve">The Australasian Metabolic Health Society is a non-profit working across Australia and New Zealand to improve metabolic health, because no life should be lost to preventable disease. We connect clinicians, researchers and the public through Grand Rounds, training courses, events and educational resources.</w:t>
      </w:r>
    </w:p>
    <w:p>
      <w:pPr>
        <w:pStyle w:val="Heading2"/>
      </w:pPr>
      <w:r>
        <w:t xml:space="preserve">About the role</w:t>
      </w:r>
    </w:p>
    <w:p>
      <w:pPr>
        <w:spacing w:after="120"/>
      </w:pPr>
      <w:r>
        <w:t xml:space="preserve">This is a game-changer role, not a content production line. We want a tech-savvy coordinator who makes things happen: identifying useful platforms, AI tools and automations, and coordinating contractors and systems so AMHS reaches more people with the same resources.</w:t>
      </w:r>
    </w:p>
    <w:p>
      <w:pPr>
        <w:spacing w:after="120"/>
      </w:pPr>
      <w:r>
        <w:t xml:space="preserve">Much of our best material already exists in recorded talks, Grand Rounds and training sessions. You will turn it into content across every channel through smart workflows, not by making everything yourself. You will keep an eye out for new tools and innovations and recommend those worth trying.</w:t>
      </w:r>
    </w:p>
    <w:p>
      <w:pPr>
        <w:spacing w:after="120"/>
      </w:pPr>
      <w:r>
        <w:t xml:space="preserve">All content serves two audiences: the public and healthcare professionals. Every piece should be tailored to each, and interlinked so readers can move easily between website pages, resources, social posts, emails and campaigns.</w:t>
      </w:r>
    </w:p>
    <w:p>
      <w:pPr>
        <w:pStyle w:val="Heading2"/>
      </w:pPr>
      <w:r>
        <w:t xml:space="preserve">Key responsibilities</w:t>
      </w:r>
    </w:p>
    <w:p>
      <w:pPr>
        <w:spacing w:after="80" w:before="160"/>
      </w:pPr>
      <w:r>
        <w:rPr>
          <w:b/>
          <w:bCs/>
          <w:color w:val="444444"/>
        </w:rPr>
        <w:t xml:space="preserve">Tools and innovation</w:t>
      </w:r>
    </w:p>
    <w:p>
      <w:pPr>
        <w:pStyle w:val="ListParagraph"/>
        <w:numPr>
          <w:ilvl w:val="0"/>
          <w:numId w:val="2"/>
        </w:numPr>
        <w:spacing w:after="60"/>
      </w:pPr>
      <w:r>
        <w:t xml:space="preserve">Research and assess digital platforms, AI tools and emerging innovations, and recommend options to the CEO</w:t>
      </w:r>
    </w:p>
    <w:p>
      <w:pPr>
        <w:pStyle w:val="ListParagraph"/>
        <w:numPr>
          <w:ilvl w:val="0"/>
          <w:numId w:val="2"/>
        </w:numPr>
        <w:spacing w:after="60"/>
      </w:pPr>
      <w:r>
        <w:t xml:space="preserve">Help connect AMHS with new technologies and partners that extend our reach</w:t>
      </w:r>
    </w:p>
    <w:p>
      <w:pPr>
        <w:pStyle w:val="ListParagraph"/>
        <w:numPr>
          <w:ilvl w:val="0"/>
          <w:numId w:val="2"/>
        </w:numPr>
        <w:spacing w:after="60"/>
      </w:pPr>
      <w:r>
        <w:t xml:space="preserve">Set up and maintain systems and workflows that help a small team produce more</w:t>
      </w:r>
    </w:p>
    <w:p>
      <w:pPr>
        <w:pStyle w:val="ListParagraph"/>
        <w:numPr>
          <w:ilvl w:val="0"/>
          <w:numId w:val="2"/>
        </w:numPr>
        <w:spacing w:after="60"/>
      </w:pPr>
      <w:r>
        <w:t xml:space="preserve">Coordinate contractors, freelancers and platforms to deliver content, rather than producing everything personally</w:t>
      </w:r>
    </w:p>
    <w:p>
      <w:pPr>
        <w:spacing w:after="80" w:before="160"/>
      </w:pPr>
      <w:r>
        <w:rPr>
          <w:b/>
          <w:bCs/>
          <w:color w:val="444444"/>
        </w:rPr>
        <w:t xml:space="preserve">Repurposing content</w:t>
      </w:r>
    </w:p>
    <w:p>
      <w:pPr>
        <w:pStyle w:val="ListParagraph"/>
        <w:numPr>
          <w:ilvl w:val="0"/>
          <w:numId w:val="2"/>
        </w:numPr>
        <w:spacing w:after="60"/>
      </w:pPr>
      <w:r>
        <w:t xml:space="preserve">Turn Zoom recordings, Grand Rounds and training sessions into short-form text, video clips and reels</w:t>
      </w:r>
    </w:p>
    <w:p>
      <w:pPr>
        <w:pStyle w:val="ListParagraph"/>
        <w:numPr>
          <w:ilvl w:val="0"/>
          <w:numId w:val="2"/>
        </w:numPr>
        <w:spacing w:after="60"/>
      </w:pPr>
      <w:r>
        <w:t xml:space="preserve">Build a library of reusable content from existing materials</w:t>
      </w:r>
    </w:p>
    <w:p>
      <w:pPr>
        <w:pStyle w:val="ListParagraph"/>
        <w:numPr>
          <w:ilvl w:val="0"/>
          <w:numId w:val="2"/>
        </w:numPr>
        <w:spacing w:after="60"/>
      </w:pPr>
      <w:r>
        <w:t xml:space="preserve">Repurpose position statements, press releases and advocacy work into the full range of content: reels, social posts, articles and downloadable one-pagers</w:t>
      </w:r>
    </w:p>
    <w:p>
      <w:pPr>
        <w:pStyle w:val="ListParagraph"/>
        <w:numPr>
          <w:ilvl w:val="0"/>
          <w:numId w:val="2"/>
        </w:numPr>
        <w:spacing w:after="60"/>
      </w:pPr>
      <w:r>
        <w:t xml:space="preserve">Adapt each piece for both the public and healthcare professionals</w:t>
      </w:r>
    </w:p>
    <w:p>
      <w:pPr>
        <w:spacing w:after="80" w:before="160"/>
      </w:pPr>
      <w:r>
        <w:rPr>
          <w:b/>
          <w:bCs/>
          <w:color w:val="444444"/>
        </w:rPr>
        <w:t xml:space="preserve">Written and print content</w:t>
      </w:r>
    </w:p>
    <w:p>
      <w:pPr>
        <w:pStyle w:val="ListParagraph"/>
        <w:numPr>
          <w:ilvl w:val="0"/>
          <w:numId w:val="2"/>
        </w:numPr>
        <w:spacing w:after="60"/>
      </w:pPr>
      <w:r>
        <w:t xml:space="preserve">Produce medical guides, one-page information sheets for clinicians and the public, leaflets and posters</w:t>
      </w:r>
    </w:p>
    <w:p>
      <w:pPr>
        <w:pStyle w:val="ListParagraph"/>
        <w:numPr>
          <w:ilvl w:val="0"/>
          <w:numId w:val="2"/>
        </w:numPr>
        <w:spacing w:after="60"/>
      </w:pPr>
      <w:r>
        <w:t xml:space="preserve">Edit and proofread all content for accuracy, clarity and consistency with AMHS branding</w:t>
      </w:r>
    </w:p>
    <w:p>
      <w:pPr>
        <w:spacing w:after="80" w:before="160"/>
      </w:pPr>
      <w:r>
        <w:rPr>
          <w:b/>
          <w:bCs/>
          <w:color w:val="444444"/>
        </w:rPr>
        <w:t xml:space="preserve">Website content</w:t>
      </w:r>
    </w:p>
    <w:p>
      <w:pPr>
        <w:pStyle w:val="ListParagraph"/>
        <w:numPr>
          <w:ilvl w:val="0"/>
          <w:numId w:val="2"/>
        </w:numPr>
        <w:spacing w:after="60"/>
      </w:pPr>
      <w:r>
        <w:t xml:space="preserve">Create and maintain website content on an ongoing basis</w:t>
      </w:r>
    </w:p>
    <w:p>
      <w:pPr>
        <w:pStyle w:val="ListParagraph"/>
        <w:numPr>
          <w:ilvl w:val="0"/>
          <w:numId w:val="2"/>
        </w:numPr>
        <w:spacing w:after="60"/>
      </w:pPr>
      <w:r>
        <w:t xml:space="preserve">Write health explainers that distil medical information into simple, plain language</w:t>
      </w:r>
    </w:p>
    <w:p>
      <w:pPr>
        <w:pStyle w:val="ListParagraph"/>
        <w:numPr>
          <w:ilvl w:val="0"/>
          <w:numId w:val="2"/>
        </w:numPr>
        <w:spacing w:after="60"/>
      </w:pPr>
      <w:r>
        <w:t xml:space="preserve">Produce diagrams, explanations and downloadable resources for public and professional audiences</w:t>
      </w:r>
    </w:p>
    <w:p>
      <w:pPr>
        <w:pStyle w:val="ListParagraph"/>
        <w:numPr>
          <w:ilvl w:val="0"/>
          <w:numId w:val="2"/>
        </w:numPr>
        <w:spacing w:after="60"/>
      </w:pPr>
      <w:r>
        <w:t xml:space="preserve">Publish campaign materials and landing pages</w:t>
      </w:r>
    </w:p>
    <w:p>
      <w:pPr>
        <w:pStyle w:val="ListParagraph"/>
        <w:numPr>
          <w:ilvl w:val="0"/>
          <w:numId w:val="2"/>
        </w:numPr>
        <w:spacing w:after="60"/>
      </w:pPr>
      <w:r>
        <w:t xml:space="preserve">Interlink all content across the website, resources, social media, emails and newsletter</w:t>
      </w:r>
    </w:p>
    <w:p>
      <w:pPr>
        <w:spacing w:after="80" w:before="160"/>
      </w:pPr>
      <w:r>
        <w:rPr>
          <w:b/>
          <w:bCs/>
          <w:color w:val="444444"/>
        </w:rPr>
        <w:t xml:space="preserve">Campaigns and promotion</w:t>
      </w:r>
    </w:p>
    <w:p>
      <w:pPr>
        <w:pStyle w:val="ListParagraph"/>
        <w:numPr>
          <w:ilvl w:val="0"/>
          <w:numId w:val="2"/>
        </w:numPr>
        <w:spacing w:after="60"/>
      </w:pPr>
      <w:r>
        <w:t xml:space="preserve">Plan and run social media campaigns</w:t>
      </w:r>
    </w:p>
    <w:p>
      <w:pPr>
        <w:pStyle w:val="ListParagraph"/>
        <w:numPr>
          <w:ilvl w:val="0"/>
          <w:numId w:val="2"/>
        </w:numPr>
        <w:spacing w:after="60"/>
      </w:pPr>
      <w:r>
        <w:t xml:space="preserve">Create promotional materials for events, training courses and meetings</w:t>
      </w:r>
    </w:p>
    <w:p>
      <w:pPr>
        <w:pStyle w:val="ListParagraph"/>
        <w:numPr>
          <w:ilvl w:val="0"/>
          <w:numId w:val="2"/>
        </w:numPr>
        <w:spacing w:after="60"/>
      </w:pPr>
      <w:r>
        <w:t xml:space="preserve">Build and manage email sequences for events, meetings, training and campaigns</w:t>
      </w:r>
    </w:p>
    <w:p>
      <w:pPr>
        <w:pStyle w:val="ListParagraph"/>
        <w:numPr>
          <w:ilvl w:val="0"/>
          <w:numId w:val="2"/>
        </w:numPr>
        <w:spacing w:after="60"/>
      </w:pPr>
      <w:r>
        <w:t xml:space="preserve">Produce the AMHS newsletter</w:t>
      </w:r>
    </w:p>
    <w:p>
      <w:pPr>
        <w:spacing w:after="80" w:before="160"/>
      </w:pPr>
      <w:r>
        <w:rPr>
          <w:b/>
          <w:bCs/>
          <w:color w:val="444444"/>
        </w:rPr>
        <w:t xml:space="preserve">Automation and AI</w:t>
      </w:r>
    </w:p>
    <w:p>
      <w:pPr>
        <w:pStyle w:val="ListParagraph"/>
        <w:numPr>
          <w:ilvl w:val="0"/>
          <w:numId w:val="2"/>
        </w:numPr>
        <w:spacing w:after="60"/>
      </w:pPr>
      <w:r>
        <w:t xml:space="preserve">Design and maintain automated workflows for repeated tasks, getting maximum output from existing materials</w:t>
      </w:r>
    </w:p>
    <w:p>
      <w:pPr>
        <w:pStyle w:val="ListParagraph"/>
        <w:numPr>
          <w:ilvl w:val="0"/>
          <w:numId w:val="2"/>
        </w:numPr>
        <w:spacing w:after="60"/>
      </w:pPr>
      <w:r>
        <w:t xml:space="preserve">Use AI tools to speed up content creation, repurposing and editing</w:t>
      </w:r>
    </w:p>
    <w:p>
      <w:pPr>
        <w:pStyle w:val="ListParagraph"/>
        <w:numPr>
          <w:ilvl w:val="0"/>
          <w:numId w:val="2"/>
        </w:numPr>
        <w:spacing w:after="60"/>
      </w:pPr>
      <w:r>
        <w:t xml:space="preserve">Build a reusable content engine where one recording flows automatically into clips, posts, emails and newsletter items</w:t>
      </w:r>
    </w:p>
    <w:p>
      <w:pPr>
        <w:spacing w:after="80" w:before="160"/>
      </w:pPr>
      <w:r>
        <w:rPr>
          <w:b/>
          <w:bCs/>
          <w:color w:val="444444"/>
        </w:rPr>
        <w:t xml:space="preserve">Measuring and improving</w:t>
      </w:r>
    </w:p>
    <w:p>
      <w:pPr>
        <w:pStyle w:val="ListParagraph"/>
        <w:numPr>
          <w:ilvl w:val="0"/>
          <w:numId w:val="2"/>
        </w:numPr>
        <w:spacing w:after="60"/>
      </w:pPr>
      <w:r>
        <w:t xml:space="preserve">Assess campaign and content impact using platform analytics</w:t>
      </w:r>
    </w:p>
    <w:p>
      <w:pPr>
        <w:pStyle w:val="ListParagraph"/>
        <w:numPr>
          <w:ilvl w:val="0"/>
          <w:numId w:val="2"/>
        </w:numPr>
        <w:spacing w:after="60"/>
      </w:pPr>
      <w:r>
        <w:t xml:space="preserve">Report regularly to the CEO on results</w:t>
      </w:r>
    </w:p>
    <w:p>
      <w:pPr>
        <w:pStyle w:val="ListParagraph"/>
        <w:numPr>
          <w:ilvl w:val="0"/>
          <w:numId w:val="2"/>
        </w:numPr>
        <w:spacing w:after="60"/>
      </w:pPr>
      <w:r>
        <w:t xml:space="preserve">Review what works and continuously improve content, processes and workflows</w:t>
      </w:r>
    </w:p>
    <w:p>
      <w:pPr>
        <w:pStyle w:val="Heading2"/>
      </w:pPr>
      <w:r>
        <w:t xml:space="preserve">Skills and experience</w:t>
      </w:r>
    </w:p>
    <w:p>
      <w:pPr>
        <w:spacing w:after="80" w:before="160"/>
      </w:pPr>
      <w:r>
        <w:rPr>
          <w:b/>
          <w:bCs/>
          <w:color w:val="444444"/>
        </w:rPr>
        <w:t xml:space="preserve">Essential</w:t>
      </w:r>
    </w:p>
    <w:p>
      <w:pPr>
        <w:pStyle w:val="ListParagraph"/>
        <w:numPr>
          <w:ilvl w:val="0"/>
          <w:numId w:val="2"/>
        </w:numPr>
        <w:spacing w:after="60"/>
      </w:pPr>
      <w:r>
        <w:t xml:space="preserve">Experience evaluating and introducing digital platforms or tools that improved reach or efficiency</w:t>
      </w:r>
    </w:p>
    <w:p>
      <w:pPr>
        <w:pStyle w:val="ListParagraph"/>
        <w:numPr>
          <w:ilvl w:val="0"/>
          <w:numId w:val="2"/>
        </w:numPr>
        <w:spacing w:after="60"/>
      </w:pPr>
      <w:r>
        <w:t xml:space="preserve">Highly IT savvy, with advanced skills in AI tools for content creation, editing and repurposing</w:t>
      </w:r>
    </w:p>
    <w:p>
      <w:pPr>
        <w:pStyle w:val="ListParagraph"/>
        <w:numPr>
          <w:ilvl w:val="0"/>
          <w:numId w:val="2"/>
        </w:numPr>
        <w:spacing w:after="60"/>
      </w:pPr>
      <w:r>
        <w:t xml:space="preserve">High competence building automations (for example Zapier, Make or native platform automations)</w:t>
      </w:r>
    </w:p>
    <w:p>
      <w:pPr>
        <w:pStyle w:val="ListParagraph"/>
        <w:numPr>
          <w:ilvl w:val="0"/>
          <w:numId w:val="2"/>
        </w:numPr>
        <w:spacing w:after="60"/>
      </w:pPr>
      <w:r>
        <w:t xml:space="preserve">Confident with Canva and other digital content, design and scheduling platforms</w:t>
      </w:r>
    </w:p>
    <w:p>
      <w:pPr>
        <w:pStyle w:val="ListParagraph"/>
        <w:numPr>
          <w:ilvl w:val="0"/>
          <w:numId w:val="2"/>
        </w:numPr>
        <w:spacing w:after="60"/>
      </w:pPr>
      <w:r>
        <w:t xml:space="preserve">Experience with email marketing platforms and building email sequences</w:t>
      </w:r>
    </w:p>
    <w:p>
      <w:pPr>
        <w:pStyle w:val="ListParagraph"/>
        <w:numPr>
          <w:ilvl w:val="0"/>
          <w:numId w:val="2"/>
        </w:numPr>
        <w:spacing w:after="60"/>
      </w:pPr>
      <w:r>
        <w:t xml:space="preserve">Proven experience running social media and email campaigns</w:t>
      </w:r>
    </w:p>
    <w:p>
      <w:pPr>
        <w:pStyle w:val="ListParagraph"/>
        <w:numPr>
          <w:ilvl w:val="0"/>
          <w:numId w:val="2"/>
        </w:numPr>
        <w:spacing w:after="60"/>
      </w:pPr>
      <w:r>
        <w:t xml:space="preserve">Strong writing, editing and proofreading skills</w:t>
      </w:r>
    </w:p>
    <w:p>
      <w:pPr>
        <w:pStyle w:val="ListParagraph"/>
        <w:numPr>
          <w:ilvl w:val="0"/>
          <w:numId w:val="2"/>
        </w:numPr>
        <w:spacing w:after="60"/>
      </w:pPr>
      <w:r>
        <w:t xml:space="preserve">Experience assessing campaign impact and reporting on results</w:t>
      </w:r>
    </w:p>
    <w:p>
      <w:pPr>
        <w:pStyle w:val="ListParagraph"/>
        <w:numPr>
          <w:ilvl w:val="0"/>
          <w:numId w:val="2"/>
        </w:numPr>
        <w:spacing w:after="60"/>
      </w:pPr>
      <w:r>
        <w:t xml:space="preserve">Experience coordinating contractors, freelancers or agencies to deliver content</w:t>
      </w:r>
    </w:p>
    <w:p>
      <w:pPr>
        <w:pStyle w:val="ListParagraph"/>
        <w:numPr>
          <w:ilvl w:val="0"/>
          <w:numId w:val="2"/>
        </w:numPr>
        <w:spacing w:after="60"/>
      </w:pPr>
      <w:r>
        <w:t xml:space="preserve">Ability to translate complex medical information into plain language for the public, while keeping it accurate for healthcare professionals</w:t>
      </w:r>
    </w:p>
    <w:p>
      <w:pPr>
        <w:pStyle w:val="ListParagraph"/>
        <w:numPr>
          <w:ilvl w:val="0"/>
          <w:numId w:val="2"/>
        </w:numPr>
        <w:spacing w:after="60"/>
      </w:pPr>
      <w:r>
        <w:t xml:space="preserve">Experience creating and managing website content in a content management system (for example WordPress or Squarespace)</w:t>
      </w:r>
    </w:p>
    <w:p>
      <w:pPr>
        <w:spacing w:after="80" w:before="160"/>
      </w:pPr>
      <w:r>
        <w:rPr>
          <w:b/>
          <w:bCs/>
          <w:color w:val="444444"/>
        </w:rPr>
        <w:t xml:space="preserve">Desirable</w:t>
      </w:r>
    </w:p>
    <w:p>
      <w:pPr>
        <w:pStyle w:val="ListParagraph"/>
        <w:numPr>
          <w:ilvl w:val="0"/>
          <w:numId w:val="2"/>
        </w:numPr>
        <w:spacing w:after="60"/>
      </w:pPr>
      <w:r>
        <w:t xml:space="preserve">Short-form video editing for reels and clips</w:t>
      </w:r>
    </w:p>
    <w:p>
      <w:pPr>
        <w:pStyle w:val="ListParagraph"/>
        <w:numPr>
          <w:ilvl w:val="0"/>
          <w:numId w:val="2"/>
        </w:numPr>
        <w:spacing w:after="60"/>
      </w:pPr>
      <w:r>
        <w:t xml:space="preserve">Experience with CRM, membership or learning platforms and their integrations</w:t>
      </w:r>
    </w:p>
    <w:p>
      <w:pPr>
        <w:pStyle w:val="ListParagraph"/>
        <w:numPr>
          <w:ilvl w:val="0"/>
          <w:numId w:val="2"/>
        </w:numPr>
        <w:spacing w:after="60"/>
      </w:pPr>
      <w:r>
        <w:t xml:space="preserve">Experience in health, medical or non-profit communications</w:t>
      </w:r>
    </w:p>
    <w:p>
      <w:pPr>
        <w:pStyle w:val="ListParagraph"/>
        <w:numPr>
          <w:ilvl w:val="0"/>
          <w:numId w:val="2"/>
        </w:numPr>
        <w:spacing w:after="60"/>
      </w:pPr>
      <w:r>
        <w:t xml:space="preserve">Familiarity with translating clinical content for both professional and public audiences</w:t>
      </w:r>
    </w:p>
    <w:p>
      <w:pPr>
        <w:pStyle w:val="Heading2"/>
      </w:pPr>
      <w:r>
        <w:t xml:space="preserve">Personal attributes</w:t>
      </w:r>
    </w:p>
    <w:p>
      <w:pPr>
        <w:pStyle w:val="ListParagraph"/>
        <w:numPr>
          <w:ilvl w:val="0"/>
          <w:numId w:val="2"/>
        </w:numPr>
        <w:spacing w:after="60"/>
      </w:pPr>
      <w:r>
        <w:t xml:space="preserve">Highly organised, able to manage several projects and deadlines at once</w:t>
      </w:r>
    </w:p>
    <w:p>
      <w:pPr>
        <w:pStyle w:val="ListParagraph"/>
        <w:numPr>
          <w:ilvl w:val="0"/>
          <w:numId w:val="2"/>
        </w:numPr>
        <w:spacing w:after="60"/>
      </w:pPr>
      <w:r>
        <w:t xml:space="preserve">Autonomous self-starter who works well remotely without close supervision</w:t>
      </w:r>
    </w:p>
    <w:p>
      <w:pPr>
        <w:pStyle w:val="ListParagraph"/>
        <w:numPr>
          <w:ilvl w:val="0"/>
          <w:numId w:val="2"/>
        </w:numPr>
        <w:spacing w:after="60"/>
      </w:pPr>
      <w:r>
        <w:t xml:space="preserve">Exceptional attention to detail: accurate content, careful checking and proofreading</w:t>
      </w:r>
    </w:p>
    <w:p>
      <w:pPr>
        <w:pStyle w:val="ListParagraph"/>
        <w:numPr>
          <w:ilvl w:val="0"/>
          <w:numId w:val="2"/>
        </w:numPr>
        <w:spacing w:after="60"/>
      </w:pPr>
      <w:r>
        <w:t xml:space="preserve">Curious and improvement-minded, always looking for a smarter, faster way to do repeat work</w:t>
      </w:r>
    </w:p>
    <w:p>
      <w:pPr>
        <w:pStyle w:val="Heading2"/>
      </w:pPr>
      <w:r>
        <w:t xml:space="preserve">What success looks like</w:t>
      </w:r>
    </w:p>
    <w:p>
      <w:pPr>
        <w:pStyle w:val="ListParagraph"/>
        <w:numPr>
          <w:ilvl w:val="0"/>
          <w:numId w:val="2"/>
        </w:numPr>
        <w:spacing w:after="60"/>
      </w:pPr>
      <w:r>
        <w:t xml:space="preserve">AMHS's reach grows measurably across members, subscribers and followers, without a matching growth in workload</w:t>
      </w:r>
    </w:p>
    <w:p>
      <w:pPr>
        <w:pStyle w:val="ListParagraph"/>
        <w:numPr>
          <w:ilvl w:val="0"/>
          <w:numId w:val="2"/>
        </w:numPr>
        <w:spacing w:after="60"/>
      </w:pPr>
      <w:r>
        <w:t xml:space="preserve">New tools and innovations are regularly brought to the CEO with a clear case for adopting them</w:t>
      </w:r>
    </w:p>
    <w:p>
      <w:pPr>
        <w:pStyle w:val="ListParagraph"/>
        <w:numPr>
          <w:ilvl w:val="0"/>
          <w:numId w:val="2"/>
        </w:numPr>
        <w:spacing w:after="60"/>
      </w:pPr>
      <w:r>
        <w:t xml:space="preserve">Every Grand Round, training session and event recording is repurposed into short-form content</w:t>
      </w:r>
    </w:p>
    <w:p>
      <w:pPr>
        <w:pStyle w:val="ListParagraph"/>
        <w:numPr>
          <w:ilvl w:val="0"/>
          <w:numId w:val="2"/>
        </w:numPr>
        <w:spacing w:after="60"/>
      </w:pPr>
      <w:r>
        <w:t xml:space="preserve">Event and campaign promotion runs on automated email sequences and scheduled social posts</w:t>
      </w:r>
    </w:p>
    <w:p>
      <w:pPr>
        <w:pStyle w:val="ListParagraph"/>
        <w:numPr>
          <w:ilvl w:val="0"/>
          <w:numId w:val="2"/>
        </w:numPr>
        <w:spacing w:after="60"/>
      </w:pPr>
      <w:r>
        <w:t xml:space="preserve">The newsletter goes out on a regular, reliable schedule</w:t>
      </w:r>
    </w:p>
    <w:p>
      <w:pPr>
        <w:pStyle w:val="ListParagraph"/>
        <w:numPr>
          <w:ilvl w:val="0"/>
          <w:numId w:val="2"/>
        </w:numPr>
        <w:spacing w:after="60"/>
      </w:pPr>
      <w:r>
        <w:t xml:space="preserve">Content is accurate and on-brand, with errors caught before publication</w:t>
      </w:r>
    </w:p>
    <w:p>
      <w:pPr>
        <w:pStyle w:val="ListParagraph"/>
        <w:numPr>
          <w:ilvl w:val="0"/>
          <w:numId w:val="2"/>
        </w:numPr>
        <w:spacing w:after="60"/>
      </w:pPr>
      <w:r>
        <w:t xml:space="preserve">The CEO receives clear, regular reports on campaign reach and impact</w:t>
      </w:r>
    </w:p>
    <w:p>
      <w:pPr>
        <w:pStyle w:val="Heading2"/>
      </w:pPr>
      <w:r>
        <w:t xml:space="preserve">What we offer</w:t>
      </w:r>
    </w:p>
    <w:p>
      <w:pPr>
        <w:pStyle w:val="ListParagraph"/>
        <w:numPr>
          <w:ilvl w:val="0"/>
          <w:numId w:val="2"/>
        </w:numPr>
        <w:spacing w:after="60"/>
      </w:pPr>
      <w:r>
        <w:rPr>
          <w:b/>
          <w:bCs/>
        </w:rPr>
        <w:t xml:space="preserve">Meaningful impact:</w:t>
      </w:r>
      <w:r>
        <w:t xml:space="preserve"> help a small, high-impact charity change metabolic health across Australia and New Zealand, because no life should be lost to preventable disease</w:t>
      </w:r>
    </w:p>
    <w:p>
      <w:pPr>
        <w:pStyle w:val="ListParagraph"/>
        <w:numPr>
          <w:ilvl w:val="0"/>
          <w:numId w:val="2"/>
        </w:numPr>
        <w:spacing w:after="60"/>
      </w:pPr>
      <w:r>
        <w:rPr>
          <w:b/>
          <w:bCs/>
        </w:rPr>
        <w:t xml:space="preserve">Fully remote:</w:t>
      </w:r>
      <w:r>
        <w:t xml:space="preserve"> work from home, anywhere in Australia</w:t>
      </w:r>
    </w:p>
    <w:p>
      <w:pPr>
        <w:pStyle w:val="ListParagraph"/>
        <w:numPr>
          <w:ilvl w:val="0"/>
          <w:numId w:val="2"/>
        </w:numPr>
        <w:spacing w:after="60"/>
      </w:pPr>
      <w:r>
        <w:rPr>
          <w:b/>
          <w:bCs/>
        </w:rPr>
        <w:t xml:space="preserve">Flexibility:</w:t>
      </w:r>
      <w:r>
        <w:t xml:space="preserve"> spread your 2.5 days across the week in a way that suits you</w:t>
      </w:r>
    </w:p>
    <w:p>
      <w:pPr>
        <w:pStyle w:val="ListParagraph"/>
        <w:numPr>
          <w:ilvl w:val="0"/>
          <w:numId w:val="2"/>
        </w:numPr>
        <w:spacing w:after="60"/>
      </w:pPr>
      <w:r>
        <w:rPr>
          <w:b/>
          <w:bCs/>
        </w:rPr>
        <w:t xml:space="preserve">Room to grow:</w:t>
      </w:r>
      <w:r>
        <w:t xml:space="preserve"> own campaigns, content and workflows, and help shape how AMHS uses technology to accelerate its impact</w:t>
      </w:r>
    </w:p>
    <w:p>
      <w:pPr>
        <w:pStyle w:val="ListParagraph"/>
        <w:numPr>
          <w:ilvl w:val="0"/>
          <w:numId w:val="2"/>
        </w:numPr>
        <w:spacing w:after="60"/>
      </w:pPr>
      <w:r>
        <w:rPr>
          <w:b/>
          <w:bCs/>
        </w:rPr>
        <w:t xml:space="preserve">A great team:</w:t>
      </w:r>
      <w:r>
        <w:t xml:space="preserve"> work with a passionate, supportive and proactive team</w:t>
      </w:r>
    </w:p>
    <w:p>
      <w:pPr>
        <w:pStyle w:val="ListParagraph"/>
        <w:numPr>
          <w:ilvl w:val="0"/>
          <w:numId w:val="2"/>
        </w:numPr>
        <w:spacing w:after="60"/>
      </w:pPr>
      <w:r>
        <w:rPr>
          <w:b/>
          <w:bCs/>
        </w:rPr>
        <w:t xml:space="preserve">Learning:</w:t>
      </w:r>
      <w:r>
        <w:t xml:space="preserve"> free access to AMHS Grand Rounds, training courses and events, plus time to explore new tools</w:t>
      </w:r>
    </w:p>
    <w:p>
      <w:pPr>
        <w:pStyle w:val="ListParagraph"/>
        <w:numPr>
          <w:ilvl w:val="0"/>
          <w:numId w:val="2"/>
        </w:numPr>
        <w:spacing w:after="60"/>
      </w:pPr>
      <w:r>
        <w:rPr>
          <w:b/>
          <w:bCs/>
        </w:rPr>
        <w:t xml:space="preserve">Tools provided:</w:t>
      </w:r>
      <w:r>
        <w:t xml:space="preserve"> the AI and automation subscriptions you need to do the job well</w:t>
      </w:r>
    </w:p>
    <w:p>
      <w:pPr>
        <w:pStyle w:val="ListParagraph"/>
        <w:numPr>
          <w:ilvl w:val="0"/>
          <w:numId w:val="2"/>
        </w:numPr>
        <w:spacing w:after="60"/>
      </w:pPr>
      <w:r>
        <w:rPr>
          <w:b/>
          <w:bCs/>
        </w:rPr>
        <w:t xml:space="preserve">Connections:</w:t>
      </w:r>
      <w:r>
        <w:t xml:space="preserve"> work alongside leading clinicians and researchers in metabolic health</w:t>
      </w:r>
    </w:p>
    <w:p>
      <w:pPr>
        <w:pStyle w:val="ListParagraph"/>
        <w:numPr>
          <w:ilvl w:val="0"/>
          <w:numId w:val="2"/>
        </w:numPr>
        <w:spacing w:after="60"/>
      </w:pPr>
      <w:r>
        <w:rPr>
          <w:b/>
          <w:bCs/>
        </w:rPr>
        <w:t xml:space="preserve">Professional development:</w:t>
      </w:r>
      <w:r>
        <w:t xml:space="preserve"> a dedicated budget for courses, conferences or certifications</w:t>
      </w:r>
    </w:p>
    <w:p>
      <w:pPr>
        <w:pStyle w:val="ListParagraph"/>
        <w:numPr>
          <w:ilvl w:val="0"/>
          <w:numId w:val="2"/>
        </w:numPr>
        <w:spacing w:after="60"/>
      </w:pPr>
      <w:r>
        <w:rPr>
          <w:b/>
          <w:bCs/>
        </w:rPr>
        <w:t xml:space="preserve">Christmas shutdown:</w:t>
      </w:r>
      <w:r>
        <w:t xml:space="preserve"> the office closes for two weeks over Christmas and New Year, fully paid and on top of your annual leave</w:t>
      </w:r>
    </w:p>
    <w:p>
      <w:pPr>
        <w:pStyle w:val="Heading2"/>
      </w:pPr>
      <w:r>
        <w:t xml:space="preserve">How to apply</w:t>
      </w:r>
    </w:p>
    <w:p>
      <w:pPr>
        <w:spacing w:after="120"/>
      </w:pPr>
      <w:r>
        <w:t xml:space="preserve">Please send a short cover letter and your CV to </w:t>
      </w:r>
      <w:r>
        <w:rPr>
          <w:b/>
          <w:bCs/>
        </w:rPr>
        <w:t xml:space="preserve">ausmetabolichealthsoc@gmail.com</w:t>
      </w:r>
      <w:r>
        <w:t xml:space="preserve">. Include two or three examples of content or campaigns you have delivered, and one platform, automation or AI workflow you have introduced and what it achieved.</w:t>
      </w:r>
    </w:p>
    <w:p>
      <w:pPr>
        <w:spacing w:after="120"/>
      </w:pPr>
      <w:r>
        <w:rPr>
          <w:b/>
          <w:bCs/>
        </w:rPr>
        <w:t xml:space="preserve">Applications close: Wednesday 21 October 2026.</w:t>
      </w: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80"/>
      <w:outlineLvl w:val="0"/>
    </w:pPr>
    <w:rPr>
      <w:b/>
      <w:bCs/>
      <w:color w:val="1F5C4A"/>
      <w:sz w:val="34"/>
      <w:szCs w:val="34"/>
    </w:rPr>
  </w:style>
  <w:style w:type="paragraph" w:styleId="Heading2">
    <w:name w:val="Heading 2"/>
    <w:basedOn w:val="Normal"/>
    <w:next w:val="Normal"/>
    <w:qFormat/>
    <w:pPr>
      <w:spacing w:after="100" w:before="280"/>
      <w:outlineLvl w:val="1"/>
    </w:pPr>
    <w:rPr>
      <w:b/>
      <w:bCs/>
      <w:color w:val="1F5C4A"/>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2026-10-01T01:05:10.820Z</dcterms:created>
  <dcterms:modified xsi:type="dcterms:W3CDTF">2026-10-01T01:05:10.828Z</dcterms:modified>
</cp:coreProperties>
</file>

<file path=docProps/custom.xml><?xml version="1.0" encoding="utf-8"?>
<Properties xmlns="http://schemas.openxmlformats.org/officeDocument/2006/custom-properties" xmlns:vt="http://schemas.openxmlformats.org/officeDocument/2006/docPropsVTypes"/>
</file>