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00D5094B" w:rsidR="00DF6A22" w:rsidRPr="00D467D6" w:rsidRDefault="7C4067A2" w:rsidP="00DF6A22">
      <w:pPr>
        <w:tabs>
          <w:tab w:val="left" w:pos="2694"/>
        </w:tabs>
      </w:pPr>
      <w:r w:rsidRPr="2E736B53">
        <w:rPr>
          <w:b/>
          <w:bCs/>
        </w:rPr>
        <w:t>Position title:</w:t>
      </w:r>
      <w:r>
        <w:t xml:space="preserve"> </w:t>
      </w:r>
      <w:r w:rsidR="00DF6A22">
        <w:tab/>
      </w:r>
      <w:r w:rsidR="00BB6756" w:rsidRPr="00BB6756">
        <w:rPr>
          <w:szCs w:val="22"/>
        </w:rPr>
        <w:t>Associate In-House Counsel, Family and Children’s Law</w:t>
      </w:r>
    </w:p>
    <w:p w14:paraId="69AECC3D" w14:textId="0142567C" w:rsidR="00DF6A22" w:rsidRPr="00D467D6" w:rsidRDefault="00DF6A22" w:rsidP="00DF6A22">
      <w:pPr>
        <w:tabs>
          <w:tab w:val="left" w:pos="2694"/>
        </w:tabs>
      </w:pPr>
      <w:r w:rsidRPr="00D467D6">
        <w:rPr>
          <w:b/>
        </w:rPr>
        <w:t>Reports to:</w:t>
      </w:r>
      <w:r w:rsidRPr="00D467D6">
        <w:t xml:space="preserve"> </w:t>
      </w:r>
      <w:r w:rsidRPr="00D467D6">
        <w:tab/>
      </w:r>
      <w:r w:rsidR="00BB6756" w:rsidRPr="00BB6756">
        <w:t>Senior In-House Counsel, Family and Children’s Law</w:t>
      </w:r>
    </w:p>
    <w:p w14:paraId="71DE2636" w14:textId="034F6C5E" w:rsidR="00DF6A22" w:rsidRPr="00D467D6" w:rsidRDefault="00DF6A22" w:rsidP="00DF6A22">
      <w:pPr>
        <w:tabs>
          <w:tab w:val="left" w:pos="2694"/>
        </w:tabs>
      </w:pPr>
      <w:r w:rsidRPr="00D467D6">
        <w:rPr>
          <w:b/>
        </w:rPr>
        <w:t>Program area:</w:t>
      </w:r>
      <w:r w:rsidRPr="00D467D6">
        <w:t xml:space="preserve"> </w:t>
      </w:r>
      <w:r w:rsidRPr="00D467D6">
        <w:tab/>
      </w:r>
      <w:r w:rsidR="00BB6756">
        <w:t>VLA Chambers</w:t>
      </w:r>
    </w:p>
    <w:p w14:paraId="0450D2A7" w14:textId="49280FBD" w:rsidR="005C67F3" w:rsidRDefault="00DF6A22" w:rsidP="0024249B">
      <w:pPr>
        <w:tabs>
          <w:tab w:val="left" w:pos="2694"/>
        </w:tabs>
      </w:pPr>
      <w:r w:rsidRPr="6FA8A7F5">
        <w:rPr>
          <w:b/>
          <w:bCs/>
        </w:rPr>
        <w:t>Location:</w:t>
      </w:r>
      <w:r w:rsidRPr="00D467D6">
        <w:t xml:space="preserve"> </w:t>
      </w:r>
      <w:r w:rsidRPr="00D467D6">
        <w:tab/>
      </w:r>
      <w:r w:rsidR="00BB6756" w:rsidRPr="00BB6756">
        <w:t>Melbourne CBD</w:t>
      </w:r>
      <w:r w:rsidR="00BB6756">
        <w:t xml:space="preserve">, on </w:t>
      </w:r>
      <w:r w:rsidR="00BB6756" w:rsidRPr="00BB6756">
        <w:t>Wurundjeri Country</w:t>
      </w:r>
    </w:p>
    <w:p w14:paraId="533E6320" w14:textId="37650983" w:rsidR="00DF6A22" w:rsidRPr="00D467D6" w:rsidRDefault="00DF6A22" w:rsidP="0024249B">
      <w:pPr>
        <w:tabs>
          <w:tab w:val="left" w:pos="2694"/>
        </w:tabs>
      </w:pPr>
      <w:r w:rsidRPr="00D467D6">
        <w:rPr>
          <w:b/>
        </w:rPr>
        <w:t>Classification:</w:t>
      </w:r>
      <w:r w:rsidRPr="00D467D6">
        <w:t xml:space="preserve"> </w:t>
      </w:r>
      <w:r w:rsidRPr="00D467D6">
        <w:tab/>
      </w:r>
      <w:r w:rsidR="00D21958">
        <w:t xml:space="preserve">WVR </w:t>
      </w:r>
      <w:r w:rsidR="0034128C">
        <w:t>4</w:t>
      </w:r>
      <w:r w:rsidR="00D21958">
        <w:t>.</w:t>
      </w:r>
      <w:r w:rsidR="0034128C">
        <w:t>2</w:t>
      </w:r>
      <w:r w:rsidR="00FE62C9" w:rsidRPr="00D467D6">
        <w:t xml:space="preserve"> </w:t>
      </w:r>
      <w:r w:rsidR="0034128C">
        <w:t>–</w:t>
      </w:r>
      <w:r w:rsidR="00FE62C9" w:rsidRPr="00D467D6">
        <w:t xml:space="preserve"> </w:t>
      </w:r>
      <w:r w:rsidR="0034128C">
        <w:t>42LO4B</w:t>
      </w:r>
    </w:p>
    <w:p w14:paraId="59CFF39B" w14:textId="77777777" w:rsidR="005D4D08" w:rsidRPr="00D467D6"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5308425" w14:textId="616FDFC5" w:rsidR="00147AA2" w:rsidRDefault="00BB6756" w:rsidP="00BB6756">
      <w:pPr>
        <w:keepNext/>
        <w:spacing w:before="120"/>
        <w:outlineLvl w:val="1"/>
      </w:pPr>
      <w:r w:rsidRPr="000D2753">
        <w:t>To provide high quality legal representation and advice to Victoria Legal Aid</w:t>
      </w:r>
      <w:r>
        <w:t xml:space="preserve"> (VLA)</w:t>
      </w:r>
      <w:r w:rsidRPr="000D2753">
        <w:t xml:space="preserve"> clients appearing before the Family Division of the Children’s Court, the </w:t>
      </w:r>
      <w:r w:rsidR="31153FA6">
        <w:t xml:space="preserve">Federal Circuit and Family Court of Australia, </w:t>
      </w:r>
      <w:r>
        <w:t xml:space="preserve">the </w:t>
      </w:r>
      <w:r w:rsidRPr="000D2753">
        <w:t xml:space="preserve">Magistrates’ Court of Victoria, , the Supreme Court, the County Court and other Courts and Tribunals, including the Victorian Civil and Administrative Tribunal (VCAT) in </w:t>
      </w:r>
      <w:r w:rsidR="04C35ADE">
        <w:t>F</w:t>
      </w:r>
      <w:r w:rsidRPr="000D2753">
        <w:t xml:space="preserve">amily and </w:t>
      </w:r>
      <w:r w:rsidR="0D96D04F">
        <w:t>C</w:t>
      </w:r>
      <w:r>
        <w:t xml:space="preserve">hildren’s </w:t>
      </w:r>
      <w:r w:rsidR="3574FC95">
        <w:t>L</w:t>
      </w:r>
      <w:r w:rsidRPr="000D2753">
        <w:t>aw matters.</w:t>
      </w:r>
    </w:p>
    <w:p w14:paraId="76B899AE" w14:textId="77777777" w:rsidR="005529A4" w:rsidRPr="00D467D6" w:rsidRDefault="005529A4" w:rsidP="005529A4">
      <w:pPr>
        <w:pStyle w:val="Heading2"/>
        <w:spacing w:before="360"/>
      </w:pPr>
      <w:r w:rsidRPr="00D467D6">
        <w:t>Responsibilities</w:t>
      </w:r>
    </w:p>
    <w:p w14:paraId="2E89DBAA" w14:textId="1BE87E35" w:rsidR="00BB6756" w:rsidRPr="003478AE" w:rsidRDefault="00BB6756" w:rsidP="00BB6756">
      <w:pPr>
        <w:pStyle w:val="NumberedList"/>
      </w:pPr>
      <w:r w:rsidRPr="003478AE">
        <w:t xml:space="preserve">Appear as </w:t>
      </w:r>
      <w:r w:rsidR="04F7EFD9">
        <w:t>C</w:t>
      </w:r>
      <w:r w:rsidRPr="003478AE">
        <w:t>ounsel on behalf of VLA clients before the Federal Circuit Court and Family Court of Australia</w:t>
      </w:r>
      <w:r>
        <w:t>, the</w:t>
      </w:r>
      <w:r w:rsidRPr="003478AE">
        <w:t xml:space="preserve"> Family Division of the Children’s Court, the Magistrates’ Court of Victoria,</w:t>
      </w:r>
      <w:r>
        <w:t xml:space="preserve"> </w:t>
      </w:r>
      <w:r w:rsidRPr="003478AE">
        <w:t>the Supreme Court, the County Court and other Courts and Tribunals, including VCAT.</w:t>
      </w:r>
    </w:p>
    <w:p w14:paraId="79BCCE83" w14:textId="77777777" w:rsidR="00BB6756" w:rsidRPr="003478AE" w:rsidRDefault="00BB6756" w:rsidP="00BB6756">
      <w:pPr>
        <w:pStyle w:val="NumberedList"/>
      </w:pPr>
      <w:r w:rsidRPr="003478AE">
        <w:t>In collaboration with other Chambers Family and Children’s Law advocates, provide advice, opinions and responses to law reform proposals in areas of law covered by VLA’s Family, Youth and Children’s Law program.</w:t>
      </w:r>
    </w:p>
    <w:p w14:paraId="5B4B7BE9" w14:textId="77777777" w:rsidR="00BB6756" w:rsidRPr="003478AE" w:rsidRDefault="00BB6756" w:rsidP="00BB6756">
      <w:pPr>
        <w:pStyle w:val="NumberedList"/>
      </w:pPr>
      <w:r w:rsidRPr="003478AE">
        <w:t>Provide duty lawyer services in Family, Youth and Children’s Law from time to time.</w:t>
      </w:r>
    </w:p>
    <w:p w14:paraId="79DD9174" w14:textId="77777777" w:rsidR="00BB6756" w:rsidRPr="003478AE" w:rsidRDefault="00BB6756" w:rsidP="00BB6756">
      <w:pPr>
        <w:pStyle w:val="NumberedList"/>
      </w:pPr>
      <w:r w:rsidRPr="003478AE">
        <w:t>Enhance the professional development of lawyers in the Family, Youth and Children’s Law program including delivering training programs and developing in-house staff advocacy skills.</w:t>
      </w:r>
    </w:p>
    <w:p w14:paraId="4421F9FD" w14:textId="77777777" w:rsidR="00BB6756" w:rsidRDefault="00BB6756" w:rsidP="00BB6756">
      <w:pPr>
        <w:pStyle w:val="NumberedList"/>
      </w:pPr>
      <w:r w:rsidRPr="00A73950">
        <w:t>Assist in the training and development of Chambers advocates regarding Family, Youth and Children’s Law issues and processes.</w:t>
      </w:r>
    </w:p>
    <w:p w14:paraId="668039A5" w14:textId="77777777" w:rsidR="00BB6756" w:rsidRPr="00A73950" w:rsidRDefault="00BB6756" w:rsidP="00BB6756">
      <w:pPr>
        <w:pStyle w:val="NumberedList"/>
      </w:pPr>
      <w:r w:rsidRPr="00A245EF">
        <w:t>Keep abreast of changes to legislation and case law</w:t>
      </w:r>
    </w:p>
    <w:p w14:paraId="60306DDE" w14:textId="77777777" w:rsidR="00BB6756" w:rsidRPr="00D467D6" w:rsidRDefault="00BB6756" w:rsidP="00BB6756">
      <w:pPr>
        <w:pStyle w:val="NumberedList"/>
      </w:pPr>
      <w:r w:rsidRPr="00A73950">
        <w:t>Contribute to the cost effectiveness of Chambers and meet the relevant targets.</w:t>
      </w:r>
    </w:p>
    <w:p w14:paraId="0D8B457F" w14:textId="77777777" w:rsidR="00D511BD" w:rsidRPr="00D511BD" w:rsidRDefault="00D511BD" w:rsidP="00F71D53">
      <w:pPr>
        <w:pStyle w:val="Heading2"/>
      </w:pPr>
      <w:r w:rsidRPr="00D511BD">
        <w:t>Essential standards and capabilities</w:t>
      </w:r>
    </w:p>
    <w:p w14:paraId="32F5C485" w14:textId="0D38A06E" w:rsidR="00D511BD" w:rsidRPr="00D511BD" w:rsidRDefault="00D511BD" w:rsidP="00D511BD">
      <w:pPr>
        <w:pStyle w:val="VLADocumentText"/>
      </w:pPr>
      <w:r w:rsidRPr="00D511BD">
        <w:t xml:space="preserve">The following standards and capabilities are </w:t>
      </w:r>
      <w:r w:rsidRPr="00741A01">
        <w:rPr>
          <w:b/>
          <w:bCs/>
        </w:rPr>
        <w:t>mandatory</w:t>
      </w:r>
      <w:r w:rsidRPr="00D511BD">
        <w:t xml:space="preserve"> and required to perform the duties and responsibilities of this position.</w:t>
      </w:r>
    </w:p>
    <w:p w14:paraId="07EC242C" w14:textId="7ECB2A20" w:rsidR="00F71D53" w:rsidRPr="00D467D6" w:rsidRDefault="00F71D53" w:rsidP="00E3012F">
      <w:pPr>
        <w:pStyle w:val="Bulleted"/>
        <w:numPr>
          <w:ilvl w:val="0"/>
          <w:numId w:val="35"/>
        </w:numPr>
      </w:pPr>
      <w:r w:rsidRPr="00D467D6">
        <w:t xml:space="preserve">A current Australian practising certificate which entitles you to practise in Victoria as a </w:t>
      </w:r>
      <w:r w:rsidRPr="006926C9">
        <w:t xml:space="preserve">government legal </w:t>
      </w:r>
      <w:r w:rsidRPr="00D467D6">
        <w:t>practitioner.</w:t>
      </w:r>
    </w:p>
    <w:p w14:paraId="09345EDD" w14:textId="2DC9D8FC" w:rsidR="00F71D53" w:rsidRPr="0034128C" w:rsidRDefault="00F71D53" w:rsidP="00E3012F">
      <w:pPr>
        <w:pStyle w:val="Bulleted"/>
        <w:numPr>
          <w:ilvl w:val="0"/>
          <w:numId w:val="35"/>
        </w:numPr>
      </w:pPr>
      <w:r w:rsidRPr="00D467D6">
        <w:lastRenderedPageBreak/>
        <w:t xml:space="preserve">Entitled to practise in federal courts and courts exercising federal jurisdiction (entry on the High </w:t>
      </w:r>
      <w:r w:rsidRPr="0034128C">
        <w:t xml:space="preserve">Court’s Register of Practitioners). </w:t>
      </w:r>
    </w:p>
    <w:p w14:paraId="39280493" w14:textId="570BC281" w:rsidR="00F71D53" w:rsidRPr="0034128C" w:rsidRDefault="00F71D53" w:rsidP="00E3012F">
      <w:pPr>
        <w:pStyle w:val="Bulleted"/>
        <w:numPr>
          <w:ilvl w:val="0"/>
          <w:numId w:val="35"/>
        </w:numPr>
        <w:rPr>
          <w:i/>
          <w:iCs/>
        </w:rPr>
      </w:pPr>
      <w:r w:rsidRPr="0034128C">
        <w:t xml:space="preserve">Demonstrated experience working with Australian First </w:t>
      </w:r>
      <w:r w:rsidR="00002F22" w:rsidRPr="0034128C">
        <w:t>Peoples</w:t>
      </w:r>
      <w:r w:rsidRPr="0034128C">
        <w:t xml:space="preserve"> and understanding of cultural norms and communication styles.</w:t>
      </w:r>
    </w:p>
    <w:p w14:paraId="6E98AA05" w14:textId="77777777" w:rsidR="00D511BD" w:rsidRPr="0034128C" w:rsidRDefault="00D511BD" w:rsidP="00E3012F">
      <w:pPr>
        <w:pStyle w:val="VLADocumentText"/>
        <w:numPr>
          <w:ilvl w:val="0"/>
          <w:numId w:val="35"/>
        </w:numPr>
      </w:pPr>
      <w:r w:rsidRPr="0034128C">
        <w:t>You must have the right to work in Australia (i.e., be an Australian or New Zealand citizen, permanent resident, or hold a valid visa).</w:t>
      </w:r>
    </w:p>
    <w:p w14:paraId="6129EC3B" w14:textId="62972E5A" w:rsidR="00E421D9" w:rsidRPr="0034128C" w:rsidRDefault="00E421D9" w:rsidP="00E3012F">
      <w:pPr>
        <w:pStyle w:val="Bulleted"/>
        <w:numPr>
          <w:ilvl w:val="0"/>
          <w:numId w:val="35"/>
        </w:numPr>
        <w:rPr>
          <w:rFonts w:ascii="Aptos" w:hAnsi="Aptos"/>
          <w:sz w:val="24"/>
        </w:rPr>
      </w:pPr>
      <w:r>
        <w:t xml:space="preserve">It </w:t>
      </w:r>
      <w:r w:rsidRPr="0034128C">
        <w:t xml:space="preserve">is a requirement that all VLA employees reside in Victoria, or a nearby border community, and can attend for office-based days at their primary work location. From time to </w:t>
      </w:r>
      <w:proofErr w:type="gramStart"/>
      <w:r w:rsidRPr="0034128C">
        <w:t>time</w:t>
      </w:r>
      <w:proofErr w:type="gramEnd"/>
      <w:r w:rsidRPr="0034128C">
        <w:t xml:space="preserve"> you will be required to travel between various office </w:t>
      </w:r>
      <w:r w:rsidR="4EE4512D">
        <w:t xml:space="preserve">and Court </w:t>
      </w:r>
      <w:r w:rsidRPr="0034128C">
        <w:t>locations to deliver quality services to our clients or for professional development.</w:t>
      </w:r>
    </w:p>
    <w:p w14:paraId="58E662D7" w14:textId="56CE0E34" w:rsidR="00D511BD" w:rsidRPr="0034128C" w:rsidRDefault="00D511BD" w:rsidP="00E3012F">
      <w:pPr>
        <w:pStyle w:val="Bulleted"/>
        <w:numPr>
          <w:ilvl w:val="0"/>
          <w:numId w:val="35"/>
        </w:numPr>
      </w:pPr>
      <w:r w:rsidRPr="0034128C">
        <w:t>Ability to independently travel to various office locations</w:t>
      </w:r>
      <w:r w:rsidR="00D84E89" w:rsidRPr="0034128C">
        <w:t>, meeting venues, outreach services, courts and tribunals to deliver quality services to our clients, for meetings and/or professional development, as required.</w:t>
      </w:r>
    </w:p>
    <w:p w14:paraId="1DBB7744" w14:textId="7B9E3862" w:rsidR="001E450A" w:rsidRPr="0034128C" w:rsidRDefault="002106CE" w:rsidP="00E3012F">
      <w:pPr>
        <w:pStyle w:val="VLADocumentText"/>
        <w:numPr>
          <w:ilvl w:val="0"/>
          <w:numId w:val="35"/>
        </w:numPr>
      </w:pPr>
      <w:r w:rsidRPr="0034128C">
        <w:t xml:space="preserve">All appointments are subject to reference checks and </w:t>
      </w:r>
      <w:r w:rsidR="001E450A" w:rsidRPr="0034128C">
        <w:t xml:space="preserve">pre-employment </w:t>
      </w:r>
      <w:r w:rsidRPr="0034128C">
        <w:t xml:space="preserve">misconduct screening. </w:t>
      </w:r>
    </w:p>
    <w:p w14:paraId="60143BB6" w14:textId="77777777" w:rsidR="001E450A" w:rsidRPr="0034128C" w:rsidRDefault="00375A7C" w:rsidP="001E450A">
      <w:pPr>
        <w:pStyle w:val="Bulleted"/>
        <w:numPr>
          <w:ilvl w:val="1"/>
          <w:numId w:val="23"/>
        </w:numPr>
      </w:pPr>
      <w:r w:rsidRPr="0034128C">
        <w:t xml:space="preserve">This role requires you to hold a valid Victorian Working </w:t>
      </w:r>
      <w:proofErr w:type="gramStart"/>
      <w:r w:rsidRPr="0034128C">
        <w:t>With</w:t>
      </w:r>
      <w:proofErr w:type="gramEnd"/>
      <w:r w:rsidRPr="0034128C">
        <w:t xml:space="preserve"> Children Check at all times</w:t>
      </w:r>
      <w:r w:rsidR="001E450A" w:rsidRPr="0034128C">
        <w:t xml:space="preserve">. </w:t>
      </w:r>
    </w:p>
    <w:p w14:paraId="52D648F6" w14:textId="77777777" w:rsidR="005529A4" w:rsidRPr="0034128C" w:rsidRDefault="005529A4" w:rsidP="005529A4">
      <w:pPr>
        <w:pStyle w:val="Heading2"/>
        <w:spacing w:before="360"/>
      </w:pPr>
      <w:r w:rsidRPr="0034128C">
        <w:t>Key selection criteria</w:t>
      </w:r>
    </w:p>
    <w:p w14:paraId="69A722A1" w14:textId="29A89B5F" w:rsidR="00BB6756" w:rsidRPr="00A73950" w:rsidRDefault="00BB6756" w:rsidP="00BF42CF">
      <w:pPr>
        <w:pStyle w:val="NumberedList"/>
        <w:numPr>
          <w:ilvl w:val="0"/>
          <w:numId w:val="31"/>
        </w:numPr>
      </w:pPr>
      <w:r w:rsidRPr="0034128C">
        <w:t xml:space="preserve">Demonstrated ability to work as a Family and Children’s Law advocate in complex matters up to and including </w:t>
      </w:r>
      <w:r w:rsidR="3BB4F6FB">
        <w:t>F</w:t>
      </w:r>
      <w:r>
        <w:t xml:space="preserve">inal </w:t>
      </w:r>
      <w:r w:rsidR="5537F714">
        <w:t>H</w:t>
      </w:r>
      <w:r w:rsidRPr="00A73950">
        <w:t>earings, including Family Violence intervention order matters</w:t>
      </w:r>
      <w:r>
        <w:t>.</w:t>
      </w:r>
    </w:p>
    <w:p w14:paraId="4BE87A64" w14:textId="77777777" w:rsidR="00BB6756" w:rsidRPr="00A73950" w:rsidRDefault="00BB6756" w:rsidP="00BB6756">
      <w:pPr>
        <w:pStyle w:val="NumberedList"/>
        <w:numPr>
          <w:ilvl w:val="0"/>
          <w:numId w:val="31"/>
        </w:numPr>
      </w:pPr>
      <w:r w:rsidRPr="00A73950">
        <w:t>Experience in advocacy and the preparation of complex litigation</w:t>
      </w:r>
      <w:r>
        <w:t>.</w:t>
      </w:r>
    </w:p>
    <w:p w14:paraId="30AC2A7E" w14:textId="77777777" w:rsidR="00BB6756" w:rsidRPr="00A73950" w:rsidRDefault="00BB6756" w:rsidP="00BB6756">
      <w:pPr>
        <w:pStyle w:val="NumberedList"/>
        <w:numPr>
          <w:ilvl w:val="0"/>
          <w:numId w:val="31"/>
        </w:numPr>
      </w:pPr>
      <w:r w:rsidRPr="00A73950">
        <w:t xml:space="preserve">Ability to provide advice, both </w:t>
      </w:r>
      <w:proofErr w:type="gramStart"/>
      <w:r w:rsidRPr="00A73950">
        <w:t>oral and written,</w:t>
      </w:r>
      <w:proofErr w:type="gramEnd"/>
      <w:r w:rsidRPr="00A73950">
        <w:t xml:space="preserve"> on legal and policy issues within limited time constraints. </w:t>
      </w:r>
    </w:p>
    <w:p w14:paraId="57E6E748" w14:textId="77777777" w:rsidR="00BB6756" w:rsidRPr="00A73950" w:rsidRDefault="00BB6756" w:rsidP="00BB6756">
      <w:pPr>
        <w:pStyle w:val="NumberedList"/>
        <w:numPr>
          <w:ilvl w:val="0"/>
          <w:numId w:val="31"/>
        </w:numPr>
      </w:pPr>
      <w:r w:rsidRPr="00A73950">
        <w:t xml:space="preserve">Good interpersonal skills and the capacity to communicate effectively with clients who are socially and economically disadvantaged, as well as staff, external stakeholders and other organisations. </w:t>
      </w:r>
    </w:p>
    <w:p w14:paraId="5043A83F" w14:textId="77777777" w:rsidR="00BB6756" w:rsidRPr="00A73950" w:rsidRDefault="00BB6756" w:rsidP="00BB6756">
      <w:pPr>
        <w:pStyle w:val="NumberedList"/>
        <w:numPr>
          <w:ilvl w:val="0"/>
          <w:numId w:val="31"/>
        </w:numPr>
      </w:pPr>
      <w:r w:rsidRPr="00A73950">
        <w:t xml:space="preserve">Ability to mentor and train staff in advocacy skills and contribute to their development. </w:t>
      </w:r>
    </w:p>
    <w:p w14:paraId="4E9A52BA" w14:textId="77777777" w:rsidR="00BB6756" w:rsidRPr="00A73950" w:rsidRDefault="00BB6756" w:rsidP="00BB6756">
      <w:pPr>
        <w:pStyle w:val="NumberedList"/>
        <w:numPr>
          <w:ilvl w:val="0"/>
          <w:numId w:val="31"/>
        </w:numPr>
      </w:pPr>
      <w:r>
        <w:t xml:space="preserve">Demonstrated </w:t>
      </w:r>
      <w:r w:rsidRPr="00BB69D6">
        <w:t>ability to exercise professional judgment, make forensic decisions</w:t>
      </w:r>
      <w:r>
        <w:t xml:space="preserve">, work independently to meet deadlines and to collaborate effectively to foster a cooperative and supportive team </w:t>
      </w:r>
      <w:r w:rsidRPr="00A73950">
        <w:t xml:space="preserve">environment. </w:t>
      </w:r>
    </w:p>
    <w:p w14:paraId="2E3A39AE" w14:textId="11D866F0" w:rsidR="32226B02" w:rsidRDefault="32226B02" w:rsidP="006D4045">
      <w:pPr>
        <w:pStyle w:val="NumberedList"/>
        <w:numPr>
          <w:ilvl w:val="0"/>
          <w:numId w:val="31"/>
        </w:numPr>
        <w:rPr>
          <w:szCs w:val="22"/>
        </w:rPr>
      </w:pPr>
      <w:r w:rsidRPr="28C7D226">
        <w:rPr>
          <w:szCs w:val="22"/>
        </w:rPr>
        <w:t>Demonstrated experience working with Victorian First Peoples communities, including an understanding of First Peoples cultures, cultural protocols and self-determination, and the demonstrated ability to lead culturally safe practice, build respectful partnerships and improve outcomes for First Peoples (highly desirable).</w:t>
      </w:r>
    </w:p>
    <w:p w14:paraId="53D27197" w14:textId="77777777" w:rsidR="005529A4" w:rsidRPr="00171F93" w:rsidRDefault="005529A4" w:rsidP="006D4045">
      <w:pPr>
        <w:pStyle w:val="NumberedList"/>
        <w:numPr>
          <w:ilvl w:val="0"/>
          <w:numId w:val="31"/>
        </w:numPr>
      </w:pPr>
      <w:r>
        <w:t xml:space="preserve">A knowledge of the general business of VLA and a commitment to our vision and values. </w:t>
      </w:r>
    </w:p>
    <w:p w14:paraId="1ED92A36" w14:textId="77777777" w:rsidR="005B7594" w:rsidRPr="00D467D6" w:rsidRDefault="005B7594" w:rsidP="00992BCB">
      <w:pPr>
        <w:pStyle w:val="Heading3"/>
      </w:pPr>
      <w:r w:rsidRPr="00D467D6">
        <w:t>Occupational health and safety responsibilities at V</w:t>
      </w:r>
      <w:r w:rsidR="00202224">
        <w:t>LA</w:t>
      </w:r>
      <w:r w:rsidRPr="00D467D6">
        <w:t>:</w:t>
      </w:r>
    </w:p>
    <w:p w14:paraId="6BFBEF9A" w14:textId="77777777" w:rsidR="005B7594" w:rsidRPr="00D467D6" w:rsidRDefault="005B7594" w:rsidP="005B7594">
      <w:pPr>
        <w:pStyle w:val="VLADocumentText"/>
        <w:numPr>
          <w:ilvl w:val="0"/>
          <w:numId w:val="23"/>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1F5459CE" w14:textId="77777777" w:rsidR="00643832" w:rsidRPr="006B3BD4" w:rsidRDefault="00643832" w:rsidP="00643832">
      <w:r w:rsidRPr="006B3BD4">
        <w:t xml:space="preserve">Victoria Legal Aid is a cornerstone of Victoria's justice system, delivering essential legal services to the community. </w:t>
      </w:r>
    </w:p>
    <w:p w14:paraId="0205EC90" w14:textId="77777777" w:rsidR="00643832" w:rsidRPr="006B3BD4" w:rsidRDefault="00643832" w:rsidP="00643832">
      <w:r w:rsidRPr="006B3BD4">
        <w:t xml:space="preserve">We provide legal advice, dispute resolution, representation, information and advocacy services to hundreds of thousands of Victorians each year for criminal, civil, family violence, child protection and family law problems. We ensure people have access to legal services close to where they live, across metropolitan, suburban and regional locations. </w:t>
      </w:r>
    </w:p>
    <w:p w14:paraId="3850F0AF" w14:textId="77777777" w:rsidR="00643832" w:rsidRPr="006B3BD4" w:rsidRDefault="00643832" w:rsidP="00643832">
      <w:r w:rsidRPr="006B3BD4">
        <w:t xml:space="preserve">Through non-legal, early intervention and dispute resolution services, we support people to understand their rights, participate in decision-making and resolve matters. We work closely with partners to influence policies and challenge unfair laws and practices to make our society fairer for everyone. </w:t>
      </w:r>
    </w:p>
    <w:p w14:paraId="142E2F0A" w14:textId="77777777" w:rsidR="00643832" w:rsidRPr="006B3BD4" w:rsidRDefault="00643832" w:rsidP="00643832">
      <w:r w:rsidRPr="006B3BD4">
        <w:t xml:space="preserve">By coordinating legal assistance and information, resolving issues early and supporting people through court </w:t>
      </w:r>
      <w:proofErr w:type="gramStart"/>
      <w:r w:rsidRPr="006B3BD4">
        <w:t>processes</w:t>
      </w:r>
      <w:proofErr w:type="gramEnd"/>
      <w:r w:rsidRPr="006B3BD4">
        <w:t xml:space="preserve"> when necessary, we help prevent problems escalating and reduce harm. We target our efforts and limited resources to help those with the greatest need. </w:t>
      </w:r>
    </w:p>
    <w:p w14:paraId="79D26351" w14:textId="77777777" w:rsidR="0034128C" w:rsidRDefault="0034128C" w:rsidP="0034128C">
      <w:pPr>
        <w:pStyle w:val="Heading3"/>
      </w:pPr>
      <w:r>
        <w:t xml:space="preserve">Chambers </w:t>
      </w:r>
    </w:p>
    <w:p w14:paraId="1739049A" w14:textId="77777777" w:rsidR="0034128C" w:rsidRPr="00AD63AE" w:rsidRDefault="0034128C" w:rsidP="0034128C">
      <w:pPr>
        <w:pStyle w:val="Heading2"/>
        <w:spacing w:before="0"/>
        <w:rPr>
          <w:rFonts w:eastAsia="Arial"/>
          <w:b w:val="0"/>
          <w:bCs w:val="0"/>
          <w:color w:val="000000" w:themeColor="text1"/>
          <w:sz w:val="22"/>
          <w:szCs w:val="22"/>
          <w:lang w:eastAsia="en-US"/>
        </w:rPr>
      </w:pPr>
      <w:r w:rsidRPr="76DF0521">
        <w:rPr>
          <w:rFonts w:eastAsia="Arial"/>
          <w:b w:val="0"/>
          <w:bCs w:val="0"/>
          <w:color w:val="000000" w:themeColor="text1"/>
          <w:sz w:val="22"/>
          <w:szCs w:val="22"/>
          <w:lang w:eastAsia="en-US"/>
        </w:rPr>
        <w:t>Chambers work</w:t>
      </w:r>
      <w:r>
        <w:rPr>
          <w:rFonts w:eastAsia="Arial"/>
          <w:b w:val="0"/>
          <w:bCs w:val="0"/>
          <w:color w:val="000000" w:themeColor="text1"/>
          <w:sz w:val="22"/>
          <w:szCs w:val="22"/>
          <w:lang w:eastAsia="en-US"/>
        </w:rPr>
        <w:t>s</w:t>
      </w:r>
      <w:r w:rsidRPr="76DF0521">
        <w:rPr>
          <w:rFonts w:eastAsia="Arial"/>
          <w:b w:val="0"/>
          <w:bCs w:val="0"/>
          <w:color w:val="000000" w:themeColor="text1"/>
          <w:sz w:val="22"/>
          <w:szCs w:val="22"/>
          <w:lang w:eastAsia="en-US"/>
        </w:rPr>
        <w:t xml:space="preserve"> closely with VLA’s inhouse legal teams to support their staff and strategic priorities, improve collaboration between solicitors and advocates, and promote briefing practices in accordance with VLA’s diversity and quality commitments. </w:t>
      </w:r>
    </w:p>
    <w:p w14:paraId="01724A43" w14:textId="77777777" w:rsidR="0034128C" w:rsidRPr="00206A88" w:rsidRDefault="0034128C" w:rsidP="0034128C">
      <w:pPr>
        <w:rPr>
          <w:rFonts w:eastAsia="Arial"/>
          <w:color w:val="000000" w:themeColor="text1"/>
          <w:szCs w:val="22"/>
        </w:rPr>
      </w:pPr>
      <w:r w:rsidRPr="76DF0521">
        <w:rPr>
          <w:rFonts w:eastAsia="Arial"/>
          <w:color w:val="000000" w:themeColor="text1"/>
          <w:szCs w:val="22"/>
        </w:rPr>
        <w:t xml:space="preserve">Chambers works to meet the needs of our clients and strengthen the broader justice system through: </w:t>
      </w:r>
    </w:p>
    <w:p w14:paraId="1897964D" w14:textId="77777777" w:rsidR="0034128C" w:rsidRPr="000670E2" w:rsidRDefault="0034128C" w:rsidP="0034128C">
      <w:pPr>
        <w:pStyle w:val="Heading2"/>
        <w:numPr>
          <w:ilvl w:val="0"/>
          <w:numId w:val="33"/>
        </w:numPr>
        <w:spacing w:before="0"/>
        <w:ind w:left="720"/>
        <w:rPr>
          <w:rFonts w:eastAsia="Arial"/>
          <w:b w:val="0"/>
          <w:bCs w:val="0"/>
          <w:color w:val="000000" w:themeColor="text1"/>
          <w:sz w:val="22"/>
          <w:szCs w:val="22"/>
          <w:lang w:eastAsia="en-US"/>
        </w:rPr>
      </w:pPr>
      <w:r w:rsidRPr="00600C19">
        <w:rPr>
          <w:rFonts w:eastAsia="Arial"/>
          <w:color w:val="000000" w:themeColor="text1"/>
          <w:sz w:val="22"/>
          <w:szCs w:val="22"/>
          <w:lang w:eastAsia="en-US"/>
        </w:rPr>
        <w:t>Advocacy</w:t>
      </w:r>
      <w:r w:rsidRPr="000670E2">
        <w:rPr>
          <w:rFonts w:eastAsia="Arial"/>
          <w:b w:val="0"/>
          <w:bCs w:val="0"/>
          <w:color w:val="000000" w:themeColor="text1"/>
          <w:sz w:val="22"/>
          <w:szCs w:val="22"/>
          <w:lang w:eastAsia="en-US"/>
        </w:rPr>
        <w:t xml:space="preserve">: as part of the mixed model of service delivery, we complement the advocacy services provided by the Victorian Bar. Our advocates represent and appear for legally aided clients in a wide range of matters and complexity anywhere in Victoria and undertake strategic litigation intended to benefit the broader community; </w:t>
      </w:r>
    </w:p>
    <w:p w14:paraId="0A6DD707" w14:textId="77777777" w:rsidR="0034128C" w:rsidRPr="00206A88" w:rsidRDefault="0034128C" w:rsidP="0034128C">
      <w:pPr>
        <w:pStyle w:val="Heading2"/>
        <w:numPr>
          <w:ilvl w:val="0"/>
          <w:numId w:val="33"/>
        </w:numPr>
        <w:spacing w:before="0"/>
        <w:ind w:left="720"/>
        <w:rPr>
          <w:rFonts w:eastAsia="Arial"/>
          <w:b w:val="0"/>
          <w:bCs w:val="0"/>
          <w:iCs w:val="0"/>
          <w:color w:val="000000" w:themeColor="text1"/>
          <w:sz w:val="22"/>
          <w:szCs w:val="22"/>
          <w:lang w:eastAsia="en-US"/>
        </w:rPr>
      </w:pPr>
      <w:r w:rsidRPr="00600C19">
        <w:rPr>
          <w:rFonts w:eastAsia="Arial"/>
          <w:iCs w:val="0"/>
          <w:color w:val="000000" w:themeColor="text1"/>
          <w:sz w:val="22"/>
          <w:szCs w:val="22"/>
          <w:lang w:eastAsia="en-US"/>
        </w:rPr>
        <w:t>Advice</w:t>
      </w:r>
      <w:r w:rsidRPr="00206A88">
        <w:rPr>
          <w:rFonts w:eastAsia="Arial"/>
          <w:b w:val="0"/>
          <w:bCs w:val="0"/>
          <w:iCs w:val="0"/>
          <w:color w:val="000000" w:themeColor="text1"/>
          <w:sz w:val="22"/>
          <w:szCs w:val="22"/>
          <w:lang w:eastAsia="en-US"/>
        </w:rPr>
        <w:t xml:space="preserve">: we provide an experienced advisory voice based on our practice experience on important stakeholder consultations, law reform and policy development; and </w:t>
      </w:r>
    </w:p>
    <w:p w14:paraId="32DED85C" w14:textId="77777777" w:rsidR="0034128C" w:rsidRDefault="0034128C" w:rsidP="0034128C">
      <w:pPr>
        <w:pStyle w:val="Heading2"/>
        <w:numPr>
          <w:ilvl w:val="0"/>
          <w:numId w:val="33"/>
        </w:numPr>
        <w:spacing w:before="0"/>
        <w:ind w:left="720"/>
        <w:rPr>
          <w:rFonts w:eastAsia="Arial"/>
          <w:b w:val="0"/>
          <w:bCs w:val="0"/>
          <w:iCs w:val="0"/>
          <w:color w:val="000000" w:themeColor="text1"/>
          <w:sz w:val="22"/>
          <w:szCs w:val="22"/>
          <w:lang w:eastAsia="en-US"/>
        </w:rPr>
      </w:pPr>
      <w:r w:rsidRPr="00600C19">
        <w:rPr>
          <w:rFonts w:eastAsia="Arial"/>
          <w:iCs w:val="0"/>
          <w:color w:val="000000" w:themeColor="text1"/>
          <w:sz w:val="22"/>
          <w:szCs w:val="22"/>
          <w:lang w:eastAsia="en-US"/>
        </w:rPr>
        <w:t>Legal education and mentoring</w:t>
      </w:r>
      <w:r w:rsidRPr="00206A88">
        <w:rPr>
          <w:rFonts w:eastAsia="Arial"/>
          <w:b w:val="0"/>
          <w:bCs w:val="0"/>
          <w:iCs w:val="0"/>
          <w:color w:val="000000" w:themeColor="text1"/>
          <w:sz w:val="22"/>
          <w:szCs w:val="22"/>
          <w:lang w:eastAsia="en-US"/>
        </w:rPr>
        <w:t xml:space="preserve">: we enhance the quality of legal services undertaken by VLA and the wider profession through the provision of: </w:t>
      </w:r>
    </w:p>
    <w:p w14:paraId="2A1F1515" w14:textId="77777777" w:rsidR="0034128C" w:rsidRPr="00206A88" w:rsidRDefault="0034128C" w:rsidP="0034128C">
      <w:pPr>
        <w:pStyle w:val="Heading2"/>
        <w:numPr>
          <w:ilvl w:val="0"/>
          <w:numId w:val="34"/>
        </w:numPr>
        <w:spacing w:before="0"/>
        <w:rPr>
          <w:rFonts w:eastAsia="Arial"/>
          <w:b w:val="0"/>
          <w:bCs w:val="0"/>
          <w:iCs w:val="0"/>
          <w:color w:val="000000" w:themeColor="text1"/>
          <w:sz w:val="22"/>
          <w:szCs w:val="22"/>
          <w:lang w:eastAsia="en-US"/>
        </w:rPr>
      </w:pPr>
      <w:r w:rsidRPr="002716CB">
        <w:rPr>
          <w:rFonts w:eastAsia="Arial"/>
          <w:iCs w:val="0"/>
          <w:color w:val="000000" w:themeColor="text1"/>
          <w:sz w:val="22"/>
          <w:szCs w:val="22"/>
          <w:lang w:eastAsia="en-US"/>
        </w:rPr>
        <w:t>Legal education and advice</w:t>
      </w:r>
      <w:r w:rsidRPr="00206A88">
        <w:rPr>
          <w:rFonts w:eastAsia="Arial"/>
          <w:b w:val="0"/>
          <w:bCs w:val="0"/>
          <w:iCs w:val="0"/>
          <w:color w:val="000000" w:themeColor="text1"/>
          <w:sz w:val="22"/>
          <w:szCs w:val="22"/>
          <w:lang w:eastAsia="en-US"/>
        </w:rPr>
        <w:t xml:space="preserve"> on law, procedure and case strategy to lawyers representing legally aided clients anywhere in Victoria (whether inhouse, panel firms or CLCs); and </w:t>
      </w:r>
    </w:p>
    <w:p w14:paraId="057885AF" w14:textId="77777777" w:rsidR="0034128C" w:rsidRPr="00206A88" w:rsidRDefault="0034128C" w:rsidP="0034128C">
      <w:pPr>
        <w:pStyle w:val="Heading2"/>
        <w:widowControl w:val="0"/>
        <w:numPr>
          <w:ilvl w:val="0"/>
          <w:numId w:val="34"/>
        </w:numPr>
        <w:spacing w:before="0"/>
        <w:rPr>
          <w:rFonts w:eastAsia="Arial"/>
          <w:b w:val="0"/>
          <w:bCs w:val="0"/>
          <w:color w:val="000000" w:themeColor="text1"/>
          <w:sz w:val="22"/>
          <w:szCs w:val="22"/>
          <w:lang w:eastAsia="en-US"/>
        </w:rPr>
      </w:pPr>
      <w:r w:rsidRPr="002716CB">
        <w:rPr>
          <w:rFonts w:eastAsia="Arial"/>
          <w:color w:val="000000" w:themeColor="text1"/>
          <w:sz w:val="22"/>
          <w:szCs w:val="22"/>
          <w:lang w:eastAsia="en-US"/>
        </w:rPr>
        <w:t>Advocacy skills development</w:t>
      </w:r>
      <w:r w:rsidRPr="76DF0521">
        <w:rPr>
          <w:rFonts w:eastAsia="Arial"/>
          <w:b w:val="0"/>
          <w:bCs w:val="0"/>
          <w:color w:val="000000" w:themeColor="text1"/>
          <w:sz w:val="22"/>
          <w:szCs w:val="22"/>
          <w:lang w:eastAsia="en-US"/>
        </w:rPr>
        <w:t xml:space="preserve">, mentoring and career pathways for solicitor advocates and barristers representing legally aided clients anywhere in Victoria (whether inhouse or at the private Bar). </w:t>
      </w:r>
    </w:p>
    <w:p w14:paraId="7BAD4B7F" w14:textId="12A66594" w:rsidR="0034128C" w:rsidRPr="00A36687" w:rsidRDefault="0034128C" w:rsidP="0034128C">
      <w:pPr>
        <w:rPr>
          <w:rFonts w:eastAsia="Arial" w:cs="Arial"/>
          <w:color w:val="000000" w:themeColor="text1"/>
        </w:rPr>
      </w:pPr>
      <w:r w:rsidRPr="5EE7BCC1">
        <w:rPr>
          <w:rFonts w:eastAsia="Arial" w:cs="Arial"/>
          <w:color w:val="000000" w:themeColor="text1"/>
        </w:rPr>
        <w:t xml:space="preserve">Chambers is led by the Chief Counsel and incorporates specialist criminal law, family, youth and children’s law and civil law counsel who work across Victoria. </w:t>
      </w:r>
      <w:r w:rsidR="7CFAAF7A" w:rsidRPr="5EE7BCC1">
        <w:rPr>
          <w:rFonts w:eastAsia="Arial" w:cs="Arial"/>
          <w:color w:val="000000" w:themeColor="text1"/>
        </w:rPr>
        <w:t>Four</w:t>
      </w:r>
      <w:r w:rsidRPr="5EE7BCC1">
        <w:rPr>
          <w:rFonts w:eastAsia="Arial" w:cs="Arial"/>
          <w:color w:val="000000" w:themeColor="text1"/>
        </w:rPr>
        <w:t xml:space="preserve"> of these advocates are located regionally to improve access to high quality advocacy in regional Victoria</w:t>
      </w:r>
      <w:proofErr w:type="gramStart"/>
      <w:r w:rsidRPr="5EE7BCC1">
        <w:rPr>
          <w:rFonts w:eastAsia="Arial" w:cs="Arial"/>
          <w:color w:val="000000" w:themeColor="text1"/>
        </w:rPr>
        <w:t>. .</w:t>
      </w:r>
      <w:proofErr w:type="gramEnd"/>
      <w:r w:rsidRPr="5EE7BCC1">
        <w:rPr>
          <w:rFonts w:eastAsia="Arial" w:cs="Arial"/>
          <w:color w:val="000000" w:themeColor="text1"/>
        </w:rPr>
        <w:t xml:space="preserve"> </w:t>
      </w:r>
    </w:p>
    <w:p w14:paraId="4236432E" w14:textId="77777777" w:rsidR="0034128C" w:rsidRPr="00A36687" w:rsidRDefault="0034128C" w:rsidP="0034128C">
      <w:pPr>
        <w:rPr>
          <w:rFonts w:eastAsia="Arial" w:cs="Arial"/>
          <w:color w:val="000000" w:themeColor="text1"/>
          <w:szCs w:val="22"/>
        </w:rPr>
      </w:pPr>
      <w:r w:rsidRPr="00A36687">
        <w:rPr>
          <w:rFonts w:eastAsia="Arial" w:cs="Arial"/>
          <w:color w:val="000000" w:themeColor="text1"/>
          <w:szCs w:val="22"/>
        </w:rPr>
        <w:t>Chambers operates as a centre of excellence with a commitment</w:t>
      </w:r>
      <w:r w:rsidRPr="00A2527C">
        <w:rPr>
          <w:rFonts w:cs="Arial"/>
          <w:color w:val="000000"/>
          <w:szCs w:val="22"/>
          <w:shd w:val="clear" w:color="auto" w:fill="FFFFFF"/>
        </w:rPr>
        <w:t xml:space="preserve"> </w:t>
      </w:r>
      <w:r w:rsidRPr="00A2527C">
        <w:rPr>
          <w:rFonts w:eastAsia="Arial" w:cs="Arial"/>
          <w:color w:val="000000" w:themeColor="text1"/>
          <w:szCs w:val="22"/>
        </w:rPr>
        <w:t>to support the development of legal staff and improve access to high quality advocacy in the legal assistance sector across Victoria.  </w:t>
      </w:r>
    </w:p>
    <w:p w14:paraId="36BC1D7E" w14:textId="14939DB5" w:rsidR="0034128C" w:rsidRDefault="0034128C" w:rsidP="0034128C">
      <w:pPr>
        <w:rPr>
          <w:rFonts w:eastAsia="Arial"/>
          <w:color w:val="000000" w:themeColor="text1"/>
        </w:rPr>
      </w:pPr>
      <w:r w:rsidRPr="5EE7BCC1">
        <w:rPr>
          <w:rFonts w:eastAsia="Arial" w:cs="Arial"/>
          <w:color w:val="000000" w:themeColor="text1"/>
        </w:rPr>
        <w:t xml:space="preserve">The Chief Counsel sits on the Senior Leadership Team and is supported by </w:t>
      </w:r>
      <w:r w:rsidR="77E6F190" w:rsidRPr="5EE7BCC1">
        <w:rPr>
          <w:rFonts w:eastAsia="Arial" w:cs="Arial"/>
          <w:color w:val="000000" w:themeColor="text1"/>
        </w:rPr>
        <w:t xml:space="preserve">the Deputy Chief Counsel and </w:t>
      </w:r>
      <w:r w:rsidRPr="5EE7BCC1">
        <w:rPr>
          <w:rFonts w:eastAsia="Arial" w:cs="Arial"/>
          <w:color w:val="000000" w:themeColor="text1"/>
        </w:rPr>
        <w:t>an Associate Director, Chambers.  A Briefing Manager</w:t>
      </w:r>
      <w:r w:rsidRPr="5EE7BCC1">
        <w:rPr>
          <w:rFonts w:eastAsia="Arial"/>
          <w:color w:val="000000" w:themeColor="text1"/>
        </w:rPr>
        <w:t xml:space="preserve"> leads a group of clerks and is responsible for allocating work to in-house counsel (and to the private bar) based on transparent and quality assurance-based processes and equitable briefing principles. </w:t>
      </w:r>
    </w:p>
    <w:p w14:paraId="5999A7CE" w14:textId="430BFE4F" w:rsidR="00C012FA" w:rsidRPr="0034128C" w:rsidRDefault="0034128C" w:rsidP="0034128C">
      <w:pPr>
        <w:rPr>
          <w:rFonts w:eastAsia="Arial"/>
          <w:color w:val="000000" w:themeColor="text1"/>
          <w:szCs w:val="22"/>
        </w:rPr>
      </w:pPr>
      <w:r w:rsidRPr="00206A88">
        <w:rPr>
          <w:rFonts w:eastAsia="Arial"/>
          <w:color w:val="000000" w:themeColor="text1"/>
          <w:szCs w:val="22"/>
        </w:rPr>
        <w:t xml:space="preserve">Chambers </w:t>
      </w:r>
      <w:r>
        <w:rPr>
          <w:rFonts w:eastAsia="Arial"/>
          <w:color w:val="000000" w:themeColor="text1"/>
          <w:szCs w:val="22"/>
        </w:rPr>
        <w:t xml:space="preserve">also manages </w:t>
      </w:r>
      <w:r w:rsidRPr="00206A88">
        <w:rPr>
          <w:rFonts w:eastAsia="Arial"/>
          <w:color w:val="000000" w:themeColor="text1"/>
          <w:szCs w:val="22"/>
        </w:rPr>
        <w:t>organisational-wide</w:t>
      </w:r>
      <w:r>
        <w:rPr>
          <w:rFonts w:eastAsia="Arial"/>
          <w:color w:val="000000" w:themeColor="text1"/>
          <w:szCs w:val="22"/>
        </w:rPr>
        <w:t xml:space="preserve"> projects, such as the</w:t>
      </w:r>
      <w:r w:rsidRPr="00206A88">
        <w:rPr>
          <w:rFonts w:eastAsia="Arial"/>
          <w:color w:val="000000" w:themeColor="text1"/>
          <w:szCs w:val="22"/>
        </w:rPr>
        <w:t xml:space="preserve"> </w:t>
      </w:r>
      <w:hyperlink r:id="rId11" w:history="1">
        <w:r w:rsidRPr="00206A88">
          <w:rPr>
            <w:rStyle w:val="Hyperlink"/>
            <w:rFonts w:eastAsia="Arial"/>
            <w:szCs w:val="22"/>
          </w:rPr>
          <w:t>Equitable Briefing Strategy</w:t>
        </w:r>
      </w:hyperlink>
      <w:r w:rsidRPr="00206A88">
        <w:rPr>
          <w:rFonts w:eastAsia="Arial"/>
          <w:color w:val="000000" w:themeColor="text1"/>
          <w:szCs w:val="22"/>
        </w:rPr>
        <w:t xml:space="preserve"> and </w:t>
      </w:r>
      <w:hyperlink r:id="rId12" w:history="1">
        <w:r w:rsidRPr="00206A88">
          <w:rPr>
            <w:rStyle w:val="Hyperlink"/>
            <w:rFonts w:eastAsia="Arial"/>
            <w:szCs w:val="22"/>
          </w:rPr>
          <w:t>Trial Counsel Development Programs</w:t>
        </w:r>
      </w:hyperlink>
      <w:r w:rsidRPr="00206A88">
        <w:rPr>
          <w:rFonts w:eastAsia="Arial"/>
          <w:color w:val="000000" w:themeColor="text1"/>
          <w:szCs w:val="22"/>
        </w:rPr>
        <w:t xml:space="preserve">, which deliver training opportunities to selected Junior Counsel from the Victorian Bar by partnering them with senior trial advocates.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62D6DFF7" w14:textId="77777777" w:rsidR="00C15B6B" w:rsidRPr="006B3BD4" w:rsidRDefault="00C15B6B" w:rsidP="00C15B6B">
      <w:pPr>
        <w:pStyle w:val="Heading2"/>
      </w:pPr>
      <w:r w:rsidRPr="006B3BD4">
        <w:t xml:space="preserve">Vision </w:t>
      </w:r>
    </w:p>
    <w:p w14:paraId="685AE3DD" w14:textId="77777777" w:rsidR="00C15B6B" w:rsidRPr="006B3BD4" w:rsidRDefault="00C15B6B" w:rsidP="00C15B6B">
      <w:r w:rsidRPr="006B3BD4">
        <w:t xml:space="preserve">Fair and inclusive justice where people have access to help, and laws and systems work for everyone. </w:t>
      </w:r>
    </w:p>
    <w:p w14:paraId="01E48D06" w14:textId="77777777" w:rsidR="00C15B6B" w:rsidRPr="006B3BD4" w:rsidRDefault="00C15B6B" w:rsidP="00C15B6B">
      <w:pPr>
        <w:pStyle w:val="Heading2"/>
      </w:pPr>
      <w:r w:rsidRPr="006B3BD4">
        <w:t xml:space="preserve">Purpose </w:t>
      </w:r>
    </w:p>
    <w:p w14:paraId="3802DCB2" w14:textId="77777777" w:rsidR="00C15B6B" w:rsidRPr="006B3BD4" w:rsidRDefault="00C15B6B" w:rsidP="00C15B6B">
      <w:r w:rsidRPr="006B3BD4">
        <w:t xml:space="preserve">To help Victorians resolve legal problems and protect their rights, and to work with partners to improve laws and systems so they are fairer and more accessible. </w:t>
      </w:r>
    </w:p>
    <w:p w14:paraId="60D97760" w14:textId="77777777" w:rsidR="00C15B6B" w:rsidRPr="006B3BD4" w:rsidRDefault="00C15B6B" w:rsidP="00C15B6B">
      <w:pPr>
        <w:pStyle w:val="Heading2"/>
      </w:pPr>
      <w:r w:rsidRPr="006B3BD4">
        <w:t xml:space="preserve">Values </w:t>
      </w:r>
    </w:p>
    <w:p w14:paraId="11C57F23" w14:textId="77777777" w:rsidR="00C15B6B" w:rsidRPr="006B3BD4" w:rsidRDefault="00C15B6B" w:rsidP="00C15B6B">
      <w:r w:rsidRPr="006B3BD4">
        <w:t xml:space="preserve">Our values are central to how we make decisions and deliver services. They guide our everyday actions, influence how we respond to legal need, and shape the way we work with clients, partners and each other. </w:t>
      </w:r>
    </w:p>
    <w:p w14:paraId="60AB0C59" w14:textId="77777777" w:rsidR="00C15B6B" w:rsidRPr="006B3BD4" w:rsidRDefault="00C15B6B" w:rsidP="00C15B6B">
      <w:pPr>
        <w:pStyle w:val="Heading3"/>
      </w:pPr>
      <w:r w:rsidRPr="006B3BD4">
        <w:t xml:space="preserve">Fairness </w:t>
      </w:r>
    </w:p>
    <w:p w14:paraId="1D0599BC" w14:textId="77777777" w:rsidR="00C15B6B" w:rsidRPr="006B3BD4" w:rsidRDefault="00C15B6B" w:rsidP="00C15B6B">
      <w:r w:rsidRPr="006B3BD4">
        <w:t xml:space="preserve">We are committed to fairness in society and facilitating fair and equitable access to legal and related support. </w:t>
      </w:r>
    </w:p>
    <w:p w14:paraId="7AE78E3F" w14:textId="77777777" w:rsidR="00C15B6B" w:rsidRPr="006B3BD4" w:rsidRDefault="00C15B6B" w:rsidP="00C15B6B">
      <w:pPr>
        <w:pStyle w:val="Heading3"/>
      </w:pPr>
      <w:r w:rsidRPr="006B3BD4">
        <w:t xml:space="preserve">Care </w:t>
      </w:r>
    </w:p>
    <w:p w14:paraId="2048F5A2" w14:textId="77777777" w:rsidR="00C15B6B" w:rsidRPr="006B3BD4" w:rsidRDefault="00C15B6B" w:rsidP="00C15B6B">
      <w:r w:rsidRPr="006B3BD4">
        <w:t xml:space="preserve">We care about our clients and the community, and we approach our work with an awareness of the effects that trauma and discrimination can have. We treat each other with kindness and respect. </w:t>
      </w:r>
    </w:p>
    <w:p w14:paraId="2A040D50" w14:textId="77777777" w:rsidR="00C15B6B" w:rsidRPr="006B3BD4" w:rsidRDefault="00C15B6B" w:rsidP="00C15B6B">
      <w:pPr>
        <w:pStyle w:val="Heading3"/>
      </w:pPr>
      <w:r w:rsidRPr="006B3BD4">
        <w:t xml:space="preserve">Courage </w:t>
      </w:r>
    </w:p>
    <w:p w14:paraId="787F7825" w14:textId="77777777" w:rsidR="00C15B6B" w:rsidRPr="006B3BD4" w:rsidRDefault="00C15B6B" w:rsidP="00C15B6B">
      <w:r w:rsidRPr="006B3BD4">
        <w:t xml:space="preserve">We approach our work with strength and confidence. We are guided by our values and what matters most to our clients and society. </w:t>
      </w:r>
    </w:p>
    <w:p w14:paraId="4D312B96" w14:textId="77777777" w:rsidR="00C15B6B" w:rsidRPr="006B3BD4" w:rsidRDefault="00C15B6B" w:rsidP="00C15B6B">
      <w:pPr>
        <w:pStyle w:val="Heading3"/>
      </w:pPr>
      <w:r w:rsidRPr="006B3BD4">
        <w:t xml:space="preserve">Inclusion </w:t>
      </w:r>
    </w:p>
    <w:p w14:paraId="7261F4FA" w14:textId="77777777" w:rsidR="00C15B6B" w:rsidRPr="006B3BD4" w:rsidRDefault="00C15B6B" w:rsidP="00C15B6B">
      <w:r w:rsidRPr="006B3BD4">
        <w:t>We provide an inclusive environment for clients, staff and partners.</w:t>
      </w:r>
    </w:p>
    <w:p w14:paraId="01375FCE" w14:textId="0B304CDF" w:rsidR="005529A4" w:rsidRDefault="00000000"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4454C8EF" w:rsidR="005529A4" w:rsidRDefault="005529A4" w:rsidP="005529A4">
      <w:pPr>
        <w:pStyle w:val="VLADocumentText"/>
      </w:pPr>
      <w:r>
        <w:t>We strongly encourage people from diverse backgrounds and abilities, including</w:t>
      </w:r>
      <w:r w:rsidR="00002F22">
        <w:t xml:space="preserve"> </w:t>
      </w:r>
      <w:r>
        <w:t xml:space="preserve">First </w:t>
      </w:r>
      <w:r w:rsidR="00002F22">
        <w:t>Peoples</w:t>
      </w:r>
      <w:r>
        <w:t xml:space="preserve"> </w:t>
      </w:r>
      <w:r w:rsidR="00002F22">
        <w:t xml:space="preserve">and </w:t>
      </w:r>
      <w:r>
        <w:t>refugees to apply for positions within our organisation. We will make reasonable adjustments to enable everyone to participate in our recruitment processes and to work productively and safely.</w:t>
      </w:r>
    </w:p>
    <w:p w14:paraId="0A4A557A" w14:textId="233CA477" w:rsidR="005529A4" w:rsidRDefault="005529A4" w:rsidP="005529A4">
      <w:pPr>
        <w:pStyle w:val="VLADocumentText"/>
      </w:pPr>
      <w:r>
        <w:t>It is a key priority of VLA</w:t>
      </w:r>
      <w:r>
        <w:rPr>
          <w:i/>
          <w:iCs/>
        </w:rPr>
        <w:t xml:space="preserve"> </w:t>
      </w:r>
      <w:r>
        <w:t xml:space="preserve">to support principles of self-determination by increasing </w:t>
      </w:r>
      <w:r w:rsidR="00002F22">
        <w:t>employment of First Peoples</w:t>
      </w:r>
      <w:r>
        <w:t xml:space="preserve"> across all areas of VLA. We recognise that our workforce can benefit from the unique knowledge, skills and expertise of a diverse workforce including First </w:t>
      </w:r>
      <w:r w:rsidR="00002F22">
        <w:t>Peoples</w:t>
      </w:r>
      <w:r>
        <w:t xml:space="preserve"> and in achieving a culturally safe and responsive service for our clients. </w:t>
      </w:r>
    </w:p>
    <w:p w14:paraId="60BDE663" w14:textId="77777777" w:rsidR="005529A4" w:rsidRDefault="005529A4" w:rsidP="005529A4">
      <w:pPr>
        <w:pStyle w:val="Heading2"/>
      </w:pPr>
      <w:r>
        <w:t>VLA is a Child-Safe organisation</w:t>
      </w:r>
    </w:p>
    <w:p w14:paraId="6460E567" w14:textId="0BAB76FC" w:rsidR="00782112" w:rsidRPr="00D467D6" w:rsidRDefault="005529A4" w:rsidP="005529A4">
      <w:pPr>
        <w:pStyle w:val="VLADocumentText"/>
      </w:pPr>
      <w:r>
        <w:t xml:space="preserve">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w:t>
      </w:r>
      <w:r w:rsidR="00002F22">
        <w:t>Peoples</w:t>
      </w:r>
      <w:r>
        <w:t xml:space="preserve">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34FB6808" w:rsidR="00782112" w:rsidRPr="00D467D6" w:rsidRDefault="00782112" w:rsidP="003F73E1">
      <w:r w:rsidRPr="00D467D6">
        <w:t>Position</w:t>
      </w:r>
      <w:r w:rsidR="00147AA2" w:rsidRPr="00D467D6">
        <w:t xml:space="preserve"> Title</w:t>
      </w:r>
      <w:r w:rsidRPr="00D467D6">
        <w:t xml:space="preserve">: </w:t>
      </w:r>
      <w:r w:rsidRPr="00D467D6">
        <w:tab/>
      </w:r>
      <w:r w:rsidR="004F5EEB">
        <w:t>Recruitment &amp; Retention Consultant</w:t>
      </w:r>
    </w:p>
    <w:p w14:paraId="6DF0F31E" w14:textId="1ABFD12D" w:rsidR="003F73E1" w:rsidRPr="00D467D6" w:rsidRDefault="003F73E1" w:rsidP="003F73E1">
      <w:pPr>
        <w:tabs>
          <w:tab w:val="left" w:pos="1418"/>
        </w:tabs>
      </w:pPr>
      <w:r w:rsidRPr="00D467D6">
        <w:t xml:space="preserve">Date approved: </w:t>
      </w:r>
      <w:r w:rsidR="004F5EEB">
        <w:t>14 July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3"/>
      <w:headerReference w:type="default" r:id="rId14"/>
      <w:footerReference w:type="even" r:id="rId15"/>
      <w:footerReference w:type="default" r:id="rId16"/>
      <w:headerReference w:type="first" r:id="rId17"/>
      <w:footerReference w:type="first" r:id="rId18"/>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55F5" w14:textId="77777777" w:rsidR="00552D5E" w:rsidRDefault="00552D5E"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6E4E2695" w14:textId="77777777" w:rsidR="00552D5E" w:rsidRDefault="00552D5E"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5C4F8E85" w14:textId="77777777" w:rsidR="00552D5E" w:rsidRDefault="00552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swiss"/>
    <w:pitch w:val="variable"/>
    <w:sig w:usb0="00000000"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D08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1A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2B32" w14:textId="77777777" w:rsidR="00552D5E" w:rsidRDefault="00552D5E"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03504F7E" w14:textId="77777777" w:rsidR="00552D5E" w:rsidRDefault="00552D5E"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78E0EA03" w14:textId="77777777" w:rsidR="00552D5E" w:rsidRDefault="00552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5C9D6052"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C910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34128C" w:rsidRPr="0034128C">
      <w:rPr>
        <w:rFonts w:ascii="Arial Bold" w:hAnsi="Arial Bold" w:cs="Arial"/>
        <w:b/>
        <w:color w:val="755193"/>
        <w:sz w:val="18"/>
        <w:szCs w:val="18"/>
      </w:rPr>
      <w:t>Associate In-House Counsel, Family and Children’s Law</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166C62DD"/>
    <w:multiLevelType w:val="hybridMultilevel"/>
    <w:tmpl w:val="10943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0048D8"/>
    <w:multiLevelType w:val="hybridMultilevel"/>
    <w:tmpl w:val="A69666A2"/>
    <w:lvl w:ilvl="0" w:tplc="0C09000F">
      <w:start w:val="1"/>
      <w:numFmt w:val="decimal"/>
      <w:lvlText w:val="%1."/>
      <w:lvlJc w:val="left"/>
      <w:pPr>
        <w:ind w:left="64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991C77"/>
    <w:multiLevelType w:val="hybridMultilevel"/>
    <w:tmpl w:val="3E581A34"/>
    <w:lvl w:ilvl="0" w:tplc="0074D616">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8"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9"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4" w15:restartNumberingAfterBreak="0">
    <w:nsid w:val="5E8526B4"/>
    <w:multiLevelType w:val="hybridMultilevel"/>
    <w:tmpl w:val="58F4FE7C"/>
    <w:lvl w:ilvl="0" w:tplc="72C67D94">
      <w:start w:val="1"/>
      <w:numFmt w:val="decimal"/>
      <w:lvlText w:val="%1."/>
      <w:lvlJc w:val="left"/>
      <w:pPr>
        <w:ind w:left="360" w:hanging="360"/>
      </w:pPr>
    </w:lvl>
    <w:lvl w:ilvl="1" w:tplc="29C6EE32">
      <w:start w:val="1"/>
      <w:numFmt w:val="lowerLetter"/>
      <w:lvlText w:val="%2."/>
      <w:lvlJc w:val="left"/>
      <w:pPr>
        <w:ind w:left="1080" w:hanging="360"/>
      </w:pPr>
    </w:lvl>
    <w:lvl w:ilvl="2" w:tplc="7C625958">
      <w:start w:val="1"/>
      <w:numFmt w:val="lowerRoman"/>
      <w:lvlText w:val="%3."/>
      <w:lvlJc w:val="right"/>
      <w:pPr>
        <w:ind w:left="1800" w:hanging="180"/>
      </w:pPr>
    </w:lvl>
    <w:lvl w:ilvl="3" w:tplc="0580531C">
      <w:start w:val="1"/>
      <w:numFmt w:val="decimal"/>
      <w:lvlText w:val="%4."/>
      <w:lvlJc w:val="left"/>
      <w:pPr>
        <w:ind w:left="2520" w:hanging="360"/>
      </w:pPr>
    </w:lvl>
    <w:lvl w:ilvl="4" w:tplc="B6E85C6C">
      <w:start w:val="1"/>
      <w:numFmt w:val="lowerLetter"/>
      <w:lvlText w:val="%5."/>
      <w:lvlJc w:val="left"/>
      <w:pPr>
        <w:ind w:left="3240" w:hanging="360"/>
      </w:pPr>
    </w:lvl>
    <w:lvl w:ilvl="5" w:tplc="23A4B5DA">
      <w:start w:val="1"/>
      <w:numFmt w:val="lowerRoman"/>
      <w:lvlText w:val="%6."/>
      <w:lvlJc w:val="right"/>
      <w:pPr>
        <w:ind w:left="3960" w:hanging="180"/>
      </w:pPr>
    </w:lvl>
    <w:lvl w:ilvl="6" w:tplc="E020D2B6">
      <w:start w:val="1"/>
      <w:numFmt w:val="decimal"/>
      <w:lvlText w:val="%7."/>
      <w:lvlJc w:val="left"/>
      <w:pPr>
        <w:ind w:left="4680" w:hanging="360"/>
      </w:pPr>
    </w:lvl>
    <w:lvl w:ilvl="7" w:tplc="1654F808">
      <w:start w:val="1"/>
      <w:numFmt w:val="lowerLetter"/>
      <w:lvlText w:val="%8."/>
      <w:lvlJc w:val="left"/>
      <w:pPr>
        <w:ind w:left="5400" w:hanging="360"/>
      </w:pPr>
    </w:lvl>
    <w:lvl w:ilvl="8" w:tplc="DFC4DCFE">
      <w:start w:val="1"/>
      <w:numFmt w:val="lowerRoman"/>
      <w:lvlText w:val="%9."/>
      <w:lvlJc w:val="right"/>
      <w:pPr>
        <w:ind w:left="6120" w:hanging="180"/>
      </w:pPr>
    </w:lvl>
  </w:abstractNum>
  <w:abstractNum w:abstractNumId="25"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6"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7" w15:restartNumberingAfterBreak="0">
    <w:nsid w:val="69E13258"/>
    <w:multiLevelType w:val="hybridMultilevel"/>
    <w:tmpl w:val="2CD06C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abstractNum w:abstractNumId="30" w15:restartNumberingAfterBreak="0">
    <w:nsid w:val="7AD0587F"/>
    <w:multiLevelType w:val="hybridMultilevel"/>
    <w:tmpl w:val="91FC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0051217">
    <w:abstractNumId w:val="24"/>
  </w:num>
  <w:num w:numId="2" w16cid:durableId="60057590">
    <w:abstractNumId w:val="17"/>
  </w:num>
  <w:num w:numId="3" w16cid:durableId="1490749494">
    <w:abstractNumId w:val="26"/>
  </w:num>
  <w:num w:numId="4" w16cid:durableId="846603871">
    <w:abstractNumId w:val="29"/>
  </w:num>
  <w:num w:numId="5" w16cid:durableId="183448634">
    <w:abstractNumId w:val="18"/>
  </w:num>
  <w:num w:numId="6" w16cid:durableId="1488786756">
    <w:abstractNumId w:val="19"/>
  </w:num>
  <w:num w:numId="7" w16cid:durableId="1229849399">
    <w:abstractNumId w:val="13"/>
  </w:num>
  <w:num w:numId="8" w16cid:durableId="1843619401">
    <w:abstractNumId w:val="23"/>
  </w:num>
  <w:num w:numId="9" w16cid:durableId="1790659202">
    <w:abstractNumId w:val="20"/>
  </w:num>
  <w:num w:numId="10" w16cid:durableId="838467691">
    <w:abstractNumId w:val="6"/>
  </w:num>
  <w:num w:numId="11" w16cid:durableId="1472166330">
    <w:abstractNumId w:val="3"/>
  </w:num>
  <w:num w:numId="12" w16cid:durableId="628897184">
    <w:abstractNumId w:val="2"/>
  </w:num>
  <w:num w:numId="13" w16cid:durableId="1787382591">
    <w:abstractNumId w:val="1"/>
  </w:num>
  <w:num w:numId="14" w16cid:durableId="471095821">
    <w:abstractNumId w:val="0"/>
  </w:num>
  <w:num w:numId="15" w16cid:durableId="236478653">
    <w:abstractNumId w:val="4"/>
  </w:num>
  <w:num w:numId="16" w16cid:durableId="2115898923">
    <w:abstractNumId w:val="12"/>
  </w:num>
  <w:num w:numId="17" w16cid:durableId="1173229695">
    <w:abstractNumId w:val="6"/>
    <w:lvlOverride w:ilvl="0">
      <w:startOverride w:val="1"/>
    </w:lvlOverride>
  </w:num>
  <w:num w:numId="18" w16cid:durableId="772358179">
    <w:abstractNumId w:val="23"/>
  </w:num>
  <w:num w:numId="19" w16cid:durableId="611861230">
    <w:abstractNumId w:val="23"/>
  </w:num>
  <w:num w:numId="20" w16cid:durableId="213083287">
    <w:abstractNumId w:val="21"/>
  </w:num>
  <w:num w:numId="21" w16cid:durableId="556744968">
    <w:abstractNumId w:val="5"/>
  </w:num>
  <w:num w:numId="22" w16cid:durableId="1112238294">
    <w:abstractNumId w:val="25"/>
  </w:num>
  <w:num w:numId="23" w16cid:durableId="1941179812">
    <w:abstractNumId w:val="16"/>
  </w:num>
  <w:num w:numId="24" w16cid:durableId="1776898386">
    <w:abstractNumId w:val="28"/>
  </w:num>
  <w:num w:numId="25" w16cid:durableId="414013426">
    <w:abstractNumId w:val="10"/>
  </w:num>
  <w:num w:numId="26" w16cid:durableId="193617984">
    <w:abstractNumId w:val="11"/>
  </w:num>
  <w:num w:numId="27" w16cid:durableId="703600635">
    <w:abstractNumId w:val="15"/>
  </w:num>
  <w:num w:numId="28" w16cid:durableId="952860606">
    <w:abstractNumId w:val="14"/>
  </w:num>
  <w:num w:numId="29" w16cid:durableId="762191567">
    <w:abstractNumId w:val="22"/>
  </w:num>
  <w:num w:numId="30" w16cid:durableId="259217957">
    <w:abstractNumId w:val="9"/>
  </w:num>
  <w:num w:numId="31" w16cid:durableId="1616860392">
    <w:abstractNumId w:val="8"/>
  </w:num>
  <w:num w:numId="32" w16cid:durableId="2070954747">
    <w:abstractNumId w:val="12"/>
  </w:num>
  <w:num w:numId="33" w16cid:durableId="217015005">
    <w:abstractNumId w:val="7"/>
  </w:num>
  <w:num w:numId="34" w16cid:durableId="1134565609">
    <w:abstractNumId w:val="27"/>
  </w:num>
  <w:num w:numId="35" w16cid:durableId="170020469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2F22"/>
    <w:rsid w:val="000038DE"/>
    <w:rsid w:val="000078CE"/>
    <w:rsid w:val="00014ED0"/>
    <w:rsid w:val="00020E01"/>
    <w:rsid w:val="0002230A"/>
    <w:rsid w:val="00024563"/>
    <w:rsid w:val="000325E9"/>
    <w:rsid w:val="000360EC"/>
    <w:rsid w:val="00040F0B"/>
    <w:rsid w:val="00042C17"/>
    <w:rsid w:val="00043C1D"/>
    <w:rsid w:val="00045F66"/>
    <w:rsid w:val="000517D8"/>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68"/>
    <w:rsid w:val="001539BD"/>
    <w:rsid w:val="00160C7E"/>
    <w:rsid w:val="00162115"/>
    <w:rsid w:val="00171F93"/>
    <w:rsid w:val="00181303"/>
    <w:rsid w:val="00191AE9"/>
    <w:rsid w:val="00195249"/>
    <w:rsid w:val="001979A6"/>
    <w:rsid w:val="001A2999"/>
    <w:rsid w:val="001B0FB6"/>
    <w:rsid w:val="001B10EC"/>
    <w:rsid w:val="001B1B85"/>
    <w:rsid w:val="001B1D51"/>
    <w:rsid w:val="001B7E3A"/>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D4CBD"/>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128C"/>
    <w:rsid w:val="00346654"/>
    <w:rsid w:val="003508A0"/>
    <w:rsid w:val="00360656"/>
    <w:rsid w:val="00360994"/>
    <w:rsid w:val="00362ACB"/>
    <w:rsid w:val="003655D7"/>
    <w:rsid w:val="00367865"/>
    <w:rsid w:val="0037081E"/>
    <w:rsid w:val="00375A7C"/>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3865"/>
    <w:rsid w:val="004E4FBC"/>
    <w:rsid w:val="004E593E"/>
    <w:rsid w:val="004F5EEB"/>
    <w:rsid w:val="00504F13"/>
    <w:rsid w:val="00522DB9"/>
    <w:rsid w:val="0052543B"/>
    <w:rsid w:val="00530D38"/>
    <w:rsid w:val="005317C2"/>
    <w:rsid w:val="00531B7D"/>
    <w:rsid w:val="00546C0D"/>
    <w:rsid w:val="005529A4"/>
    <w:rsid w:val="00552D5E"/>
    <w:rsid w:val="00557AA8"/>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F7CD1"/>
    <w:rsid w:val="006243A4"/>
    <w:rsid w:val="00637611"/>
    <w:rsid w:val="00643832"/>
    <w:rsid w:val="006462BE"/>
    <w:rsid w:val="0066019E"/>
    <w:rsid w:val="00662A68"/>
    <w:rsid w:val="00665868"/>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0BD7"/>
    <w:rsid w:val="006C450D"/>
    <w:rsid w:val="006D4045"/>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1A01"/>
    <w:rsid w:val="007474CF"/>
    <w:rsid w:val="00761E1C"/>
    <w:rsid w:val="00763828"/>
    <w:rsid w:val="007666DA"/>
    <w:rsid w:val="00781FFA"/>
    <w:rsid w:val="00782112"/>
    <w:rsid w:val="0078739B"/>
    <w:rsid w:val="00787D4F"/>
    <w:rsid w:val="0079054C"/>
    <w:rsid w:val="00797EE6"/>
    <w:rsid w:val="007A13F6"/>
    <w:rsid w:val="007A31BA"/>
    <w:rsid w:val="007A4D37"/>
    <w:rsid w:val="007B0612"/>
    <w:rsid w:val="007B1E77"/>
    <w:rsid w:val="007B347E"/>
    <w:rsid w:val="007C2C18"/>
    <w:rsid w:val="007D203C"/>
    <w:rsid w:val="007D3F89"/>
    <w:rsid w:val="007D5BA7"/>
    <w:rsid w:val="007F3FC6"/>
    <w:rsid w:val="00803054"/>
    <w:rsid w:val="0080320C"/>
    <w:rsid w:val="008074B3"/>
    <w:rsid w:val="0081091F"/>
    <w:rsid w:val="00811140"/>
    <w:rsid w:val="008135EF"/>
    <w:rsid w:val="00815CC1"/>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771E3"/>
    <w:rsid w:val="008958CB"/>
    <w:rsid w:val="00896E60"/>
    <w:rsid w:val="00897A48"/>
    <w:rsid w:val="008A1E5F"/>
    <w:rsid w:val="008A7438"/>
    <w:rsid w:val="008B0336"/>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91CBE"/>
    <w:rsid w:val="0099270D"/>
    <w:rsid w:val="00992BCB"/>
    <w:rsid w:val="009939FA"/>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234A"/>
    <w:rsid w:val="00AC3D95"/>
    <w:rsid w:val="00AD2EEB"/>
    <w:rsid w:val="00B044A6"/>
    <w:rsid w:val="00B06795"/>
    <w:rsid w:val="00B125D4"/>
    <w:rsid w:val="00B13002"/>
    <w:rsid w:val="00B226AF"/>
    <w:rsid w:val="00B22CAA"/>
    <w:rsid w:val="00B23760"/>
    <w:rsid w:val="00B241AD"/>
    <w:rsid w:val="00B24A63"/>
    <w:rsid w:val="00B31D8B"/>
    <w:rsid w:val="00B34DC1"/>
    <w:rsid w:val="00B56BF9"/>
    <w:rsid w:val="00B6049A"/>
    <w:rsid w:val="00B80349"/>
    <w:rsid w:val="00B85795"/>
    <w:rsid w:val="00B95BA0"/>
    <w:rsid w:val="00BB122F"/>
    <w:rsid w:val="00BB1A9B"/>
    <w:rsid w:val="00BB2E9D"/>
    <w:rsid w:val="00BB6756"/>
    <w:rsid w:val="00BC07DF"/>
    <w:rsid w:val="00BD3873"/>
    <w:rsid w:val="00BD4621"/>
    <w:rsid w:val="00BD70BD"/>
    <w:rsid w:val="00BD7631"/>
    <w:rsid w:val="00BE36EB"/>
    <w:rsid w:val="00BE7F2A"/>
    <w:rsid w:val="00BF09B8"/>
    <w:rsid w:val="00BF38BC"/>
    <w:rsid w:val="00BF42CF"/>
    <w:rsid w:val="00C012FA"/>
    <w:rsid w:val="00C05525"/>
    <w:rsid w:val="00C13FEB"/>
    <w:rsid w:val="00C15B6B"/>
    <w:rsid w:val="00C16B80"/>
    <w:rsid w:val="00C23872"/>
    <w:rsid w:val="00C33AEF"/>
    <w:rsid w:val="00C409B0"/>
    <w:rsid w:val="00C415B1"/>
    <w:rsid w:val="00C43DC1"/>
    <w:rsid w:val="00C52C47"/>
    <w:rsid w:val="00C61CB5"/>
    <w:rsid w:val="00C64161"/>
    <w:rsid w:val="00C64A61"/>
    <w:rsid w:val="00C74706"/>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66D0F"/>
    <w:rsid w:val="00D72C94"/>
    <w:rsid w:val="00D73DEB"/>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3012F"/>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D6E18"/>
    <w:rsid w:val="00EE0DC0"/>
    <w:rsid w:val="00EE375E"/>
    <w:rsid w:val="00EE4610"/>
    <w:rsid w:val="00EF4FC5"/>
    <w:rsid w:val="00EF5941"/>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63CC8"/>
    <w:rsid w:val="00F65433"/>
    <w:rsid w:val="00F66ED3"/>
    <w:rsid w:val="00F71D53"/>
    <w:rsid w:val="00F73C46"/>
    <w:rsid w:val="00F77AB0"/>
    <w:rsid w:val="00F77E0F"/>
    <w:rsid w:val="00F825B6"/>
    <w:rsid w:val="00F8459A"/>
    <w:rsid w:val="00F85060"/>
    <w:rsid w:val="00F95084"/>
    <w:rsid w:val="00F978DD"/>
    <w:rsid w:val="00FB0280"/>
    <w:rsid w:val="00FB2D62"/>
    <w:rsid w:val="00FB3760"/>
    <w:rsid w:val="00FB3ECB"/>
    <w:rsid w:val="00FC0503"/>
    <w:rsid w:val="00FD2AB6"/>
    <w:rsid w:val="00FD2C62"/>
    <w:rsid w:val="00FD5360"/>
    <w:rsid w:val="00FE4536"/>
    <w:rsid w:val="00FE62C9"/>
    <w:rsid w:val="041796A3"/>
    <w:rsid w:val="04A8A34A"/>
    <w:rsid w:val="04C35ADE"/>
    <w:rsid w:val="04F7EFD9"/>
    <w:rsid w:val="06E1ED47"/>
    <w:rsid w:val="09700348"/>
    <w:rsid w:val="0AEB55F0"/>
    <w:rsid w:val="0AF83CCA"/>
    <w:rsid w:val="0D96D04F"/>
    <w:rsid w:val="10145DC2"/>
    <w:rsid w:val="106CD031"/>
    <w:rsid w:val="111F2E5B"/>
    <w:rsid w:val="128A5FD2"/>
    <w:rsid w:val="1A7FECDE"/>
    <w:rsid w:val="1BD98507"/>
    <w:rsid w:val="20E23D2D"/>
    <w:rsid w:val="21D43B9F"/>
    <w:rsid w:val="276EEFE8"/>
    <w:rsid w:val="28C7D226"/>
    <w:rsid w:val="2A893C83"/>
    <w:rsid w:val="2E736B53"/>
    <w:rsid w:val="31153FA6"/>
    <w:rsid w:val="32226B02"/>
    <w:rsid w:val="32C6FB9A"/>
    <w:rsid w:val="335BA113"/>
    <w:rsid w:val="3574FC95"/>
    <w:rsid w:val="38E8C386"/>
    <w:rsid w:val="3BB4F6FB"/>
    <w:rsid w:val="4024DE5F"/>
    <w:rsid w:val="40AF75CF"/>
    <w:rsid w:val="47B97A30"/>
    <w:rsid w:val="49C333A0"/>
    <w:rsid w:val="4CDDE35B"/>
    <w:rsid w:val="4EE4512D"/>
    <w:rsid w:val="54982F4F"/>
    <w:rsid w:val="5537F714"/>
    <w:rsid w:val="55A2949C"/>
    <w:rsid w:val="574EB110"/>
    <w:rsid w:val="581E98B4"/>
    <w:rsid w:val="58A06941"/>
    <w:rsid w:val="5EE7BCC1"/>
    <w:rsid w:val="6FA8A7F5"/>
    <w:rsid w:val="77BF2C0A"/>
    <w:rsid w:val="77DB5DF8"/>
    <w:rsid w:val="77E6F190"/>
    <w:rsid w:val="7C4067A2"/>
    <w:rsid w:val="7CFAAF7A"/>
    <w:rsid w:val="7F6CE4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7"/>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8"/>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8"/>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9"/>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9"/>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6"/>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5"/>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1"/>
      </w:numPr>
      <w:contextualSpacing/>
    </w:pPr>
  </w:style>
  <w:style w:type="paragraph" w:styleId="ListNumber3">
    <w:name w:val="List Number 3"/>
    <w:basedOn w:val="Normal"/>
    <w:rsid w:val="008B2419"/>
    <w:pPr>
      <w:numPr>
        <w:numId w:val="12"/>
      </w:numPr>
      <w:contextualSpacing/>
    </w:pPr>
  </w:style>
  <w:style w:type="paragraph" w:styleId="ListNumber4">
    <w:name w:val="List Number 4"/>
    <w:basedOn w:val="Normal"/>
    <w:rsid w:val="008B2419"/>
    <w:pPr>
      <w:numPr>
        <w:numId w:val="13"/>
      </w:numPr>
      <w:contextualSpacing/>
    </w:pPr>
  </w:style>
  <w:style w:type="paragraph" w:styleId="ListNumber5">
    <w:name w:val="List Number 5"/>
    <w:basedOn w:val="Normal"/>
    <w:rsid w:val="008B2419"/>
    <w:pPr>
      <w:numPr>
        <w:numId w:val="14"/>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6"/>
      </w:numPr>
    </w:pPr>
  </w:style>
  <w:style w:type="paragraph" w:customStyle="1" w:styleId="NumberedList">
    <w:name w:val="Numbered List"/>
    <w:basedOn w:val="Normal"/>
    <w:link w:val="NumberedListChar"/>
    <w:qFormat/>
    <w:rsid w:val="00147AA2"/>
    <w:pPr>
      <w:numPr>
        <w:numId w:val="10"/>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C15B6B"/>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alaid.vic.gov.au/trial-counsel-development-progra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equitable-briefing-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2.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3.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7</cp:revision>
  <cp:lastPrinted>2015-05-20T13:45:00Z</cp:lastPrinted>
  <dcterms:created xsi:type="dcterms:W3CDTF">2026-07-14T05:39:00Z</dcterms:created>
  <dcterms:modified xsi:type="dcterms:W3CDTF">2026-07-15T01:51:00Z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