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D997" w14:textId="77777777" w:rsidR="00D331A0" w:rsidRDefault="00D331A0"/>
    <w:tbl>
      <w:tblPr>
        <w:tblStyle w:val="TableGrid"/>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6807"/>
      </w:tblGrid>
      <w:tr w:rsidR="00D331A0" w:rsidRPr="007B7A32" w14:paraId="79B39E40" w14:textId="77777777" w:rsidTr="004A7D13">
        <w:trPr>
          <w:trHeight w:val="481"/>
        </w:trPr>
        <w:tc>
          <w:tcPr>
            <w:tcW w:w="9072" w:type="dxa"/>
            <w:gridSpan w:val="2"/>
          </w:tcPr>
          <w:p w14:paraId="56FE6D4A" w14:textId="5DDD0C72" w:rsidR="00D331A0" w:rsidRPr="004A7D13" w:rsidRDefault="004A7D13" w:rsidP="00530FB4">
            <w:pPr>
              <w:spacing w:before="60" w:after="60"/>
              <w:jc w:val="center"/>
              <w:rPr>
                <w:rFonts w:asciiTheme="majorHAnsi" w:eastAsiaTheme="minorEastAsia" w:hAnsiTheme="majorHAnsi" w:cstheme="majorHAnsi"/>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heme="majorHAnsi" w:hAnsiTheme="majorHAnsi"/>
                <w:b/>
                <w:color w:val="FFFFFF" w:themeColor="background1"/>
                <w:sz w:val="32"/>
                <w:szCs w:val="32"/>
              </w:rPr>
              <w:t>AS</w:t>
            </w:r>
            <w:r>
              <w:rPr>
                <w:rFonts w:asciiTheme="majorHAnsi" w:hAnsiTheme="maj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Sales</w:t>
            </w:r>
            <w:proofErr w:type="spellEnd"/>
            <w:r>
              <w:rPr>
                <w:rFonts w:asciiTheme="majorHAnsi" w:hAnsiTheme="majorHAns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Allied Health Engagement Manager</w:t>
            </w:r>
          </w:p>
        </w:tc>
      </w:tr>
      <w:tr w:rsidR="00D331A0" w:rsidRPr="007B7A32" w14:paraId="622E5787" w14:textId="77777777" w:rsidTr="00530FB4">
        <w:trPr>
          <w:trHeight w:val="682"/>
        </w:trPr>
        <w:tc>
          <w:tcPr>
            <w:tcW w:w="9072" w:type="dxa"/>
            <w:gridSpan w:val="2"/>
          </w:tcPr>
          <w:p w14:paraId="7ACAEC71" w14:textId="77777777" w:rsidR="00D331A0" w:rsidRPr="000E0DE2" w:rsidRDefault="00D331A0" w:rsidP="00530FB4">
            <w:pPr>
              <w:spacing w:line="276" w:lineRule="auto"/>
              <w:jc w:val="center"/>
              <w:rPr>
                <w:rFonts w:eastAsiaTheme="minorEastAsia" w:cstheme="majorHAnsi"/>
                <w:b/>
                <w:bCs/>
                <w:color w:val="6B767C"/>
                <w:lang w:val="en-US"/>
              </w:rPr>
            </w:pPr>
          </w:p>
          <w:p w14:paraId="55DD9A2B" w14:textId="11ECA210" w:rsidR="00513262" w:rsidRPr="00ED284F" w:rsidRDefault="00513262" w:rsidP="0033629C">
            <w:pPr>
              <w:jc w:val="center"/>
              <w:rPr>
                <w:rFonts w:eastAsiaTheme="minorEastAsia" w:cstheme="majorHAnsi"/>
                <w:i/>
                <w:iCs/>
                <w:color w:val="4D4D4F"/>
                <w:lang w:val="en-US"/>
              </w:rPr>
            </w:pPr>
            <w:r>
              <w:rPr>
                <w:rFonts w:eastAsiaTheme="minorEastAsia" w:cstheme="majorHAnsi"/>
                <w:b/>
                <w:iCs/>
                <w:color w:val="4D4D4F"/>
                <w:lang w:val="en-US"/>
              </w:rPr>
              <w:t>Our vision:</w:t>
            </w:r>
            <w:r>
              <w:rPr>
                <w:rFonts w:eastAsiaTheme="minorEastAsia" w:cstheme="majorHAnsi"/>
                <w:i/>
                <w:iCs/>
                <w:color w:val="4D4D4F"/>
                <w:lang w:val="en-US"/>
              </w:rPr>
              <w:t xml:space="preserve"> Humanity and community shape mental health, so people can live the life they choose.</w:t>
            </w:r>
          </w:p>
          <w:p w14:paraId="31704BD9" w14:textId="3904713D" w:rsidR="00513262" w:rsidRPr="00ED284F" w:rsidRDefault="00513262" w:rsidP="00513262">
            <w:pPr>
              <w:jc w:val="center"/>
              <w:rPr>
                <w:rFonts w:eastAsiaTheme="minorEastAsia" w:cstheme="majorHAnsi"/>
                <w:i/>
                <w:iCs/>
                <w:color w:val="4D4D4F"/>
                <w:lang w:val="en-US"/>
              </w:rPr>
            </w:pPr>
            <w:r>
              <w:rPr>
                <w:rFonts w:eastAsiaTheme="minorEastAsia" w:cstheme="majorHAnsi"/>
                <w:b/>
                <w:iCs/>
                <w:color w:val="4D4D4F"/>
                <w:lang w:val="en-US"/>
              </w:rPr>
              <w:t>Our purpose:</w:t>
            </w:r>
            <w:r>
              <w:rPr>
                <w:rFonts w:eastAsiaTheme="minorEastAsia" w:cstheme="majorHAnsi"/>
                <w:i/>
                <w:iCs/>
                <w:color w:val="4D4D4F"/>
                <w:lang w:val="en-US"/>
              </w:rPr>
              <w:t xml:space="preserve"> To walk alongside you, inspiring possibility.</w:t>
            </w:r>
          </w:p>
          <w:p w14:paraId="3C1A90B6" w14:textId="31524B17" w:rsidR="00D331A0" w:rsidRPr="000E0DE2" w:rsidRDefault="00513262" w:rsidP="00147F19">
            <w:pPr>
              <w:spacing w:after="160"/>
              <w:jc w:val="center"/>
              <w:rPr>
                <w:rFonts w:eastAsiaTheme="minorEastAsia" w:cstheme="majorHAnsi"/>
                <w:i/>
                <w:iCs/>
                <w:color w:val="6B767C"/>
                <w:lang w:val="en-US"/>
              </w:rPr>
            </w:pPr>
            <w:r>
              <w:rPr>
                <w:rFonts w:eastAsiaTheme="minorEastAsia" w:cstheme="majorHAnsi"/>
                <w:b/>
                <w:iCs/>
                <w:color w:val="4D4D4F"/>
                <w:lang w:val="en-US"/>
              </w:rPr>
              <w:t>Our values:</w:t>
            </w:r>
            <w:r>
              <w:rPr>
                <w:rFonts w:eastAsiaTheme="minorEastAsia" w:cstheme="majorHAnsi"/>
                <w:i/>
                <w:iCs/>
                <w:color w:val="4D4D4F"/>
                <w:lang w:val="en-US"/>
              </w:rPr>
              <w:t xml:space="preserve"> With people and community first, we lead with integrity, uphold respect for all, inspire possibility and co-create to shape change together.</w:t>
            </w:r>
          </w:p>
        </w:tc>
      </w:tr>
      <w:tr w:rsidR="00D331A0" w:rsidRPr="007B7A32" w14:paraId="18127CE2" w14:textId="77777777" w:rsidTr="00530FB4">
        <w:trPr>
          <w:trHeight w:val="373"/>
        </w:trPr>
        <w:tc>
          <w:tcPr>
            <w:tcW w:w="9072" w:type="dxa"/>
            <w:gridSpan w:val="2"/>
            <w:shd w:val="clear" w:color="auto" w:fill="00AEEF"/>
          </w:tcPr>
          <w:p w14:paraId="26E0C5D6" w14:textId="77777777" w:rsidR="00D331A0" w:rsidRPr="000E0DE2" w:rsidRDefault="009626FE" w:rsidP="00530FB4">
            <w:pPr>
              <w:spacing w:before="60" w:after="60"/>
              <w:jc w:val="center"/>
              <w:rPr>
                <w:rFonts w:eastAsiaTheme="minorEastAsia" w:cstheme="majorHAnsi"/>
                <w:b/>
                <w:bCs/>
                <w:color w:val="6B767C"/>
                <w:sz w:val="24"/>
                <w:szCs w:val="24"/>
                <w:lang w:val="en-US"/>
              </w:rPr>
            </w:pPr>
            <w:r>
              <w:rPr>
                <w:rFonts w:asciiTheme="majorHAnsi" w:hAnsiTheme="majorHAnsi"/>
                <w:b/>
                <w:color w:val="FFFFFF" w:themeColor="background1"/>
                <w:sz w:val="32"/>
                <w:szCs w:val="32"/>
              </w:rPr>
              <w:t>Position Information</w:t>
            </w:r>
          </w:p>
        </w:tc>
      </w:tr>
      <w:tr w:rsidR="00D331A0" w:rsidRPr="007B7A32" w14:paraId="77DE5351" w14:textId="77777777" w:rsidTr="00530FB4">
        <w:trPr>
          <w:trHeight w:val="234"/>
        </w:trPr>
        <w:tc>
          <w:tcPr>
            <w:tcW w:w="2265" w:type="dxa"/>
          </w:tcPr>
          <w:p w14:paraId="184DB149" w14:textId="77777777" w:rsidR="00D331A0" w:rsidRPr="00ED284F" w:rsidRDefault="00D331A0" w:rsidP="00530FB4">
            <w:pPr>
              <w:spacing w:before="60" w:after="60"/>
              <w:rPr>
                <w:b/>
                <w:bCs/>
                <w:color w:val="4D4D4F"/>
              </w:rPr>
            </w:pPr>
            <w:r>
              <w:rPr>
                <w:b/>
                <w:bCs/>
                <w:color w:val="4D4D4F"/>
              </w:rPr>
              <w:t>Purpose</w:t>
            </w:r>
          </w:p>
        </w:tc>
        <w:tc>
          <w:tcPr>
            <w:tcW w:w="6807" w:type="dxa"/>
          </w:tcPr>
          <w:p w14:paraId="7797066C" w14:textId="139A9039" w:rsidR="00D331A0" w:rsidRPr="004A7D13" w:rsidRDefault="008344EE" w:rsidP="00530FB4">
            <w:pPr>
              <w:spacing w:after="60"/>
              <w:rPr>
                <w:rFonts w:eastAsiaTheme="minorEastAsia" w:cstheme="majorHAnsi"/>
                <w:color w:val="4D4D4F"/>
                <w:lang w:val="en-US"/>
              </w:rPr>
            </w:pPr>
            <w:r w:rsidRPr="004A7D13">
              <w:rPr>
                <w:rFonts w:eastAsiaTheme="minorEastAsia" w:cstheme="majorHAnsi"/>
                <w:color w:val="4D4D4F"/>
                <w:lang w:val="en-US"/>
              </w:rPr>
              <w:t xml:space="preserve">The Multi-Channel Sales &amp; Allied Health Engagement </w:t>
            </w:r>
            <w:r w:rsidR="004A7D13">
              <w:rPr>
                <w:rFonts w:eastAsiaTheme="minorEastAsia" w:cstheme="majorHAnsi"/>
                <w:color w:val="4D4D4F"/>
                <w:lang w:val="en-US"/>
              </w:rPr>
              <w:t xml:space="preserve">Manager </w:t>
            </w:r>
            <w:r w:rsidRPr="004A7D13">
              <w:rPr>
                <w:rFonts w:eastAsiaTheme="minorEastAsia" w:cstheme="majorHAnsi"/>
                <w:color w:val="4D4D4F"/>
                <w:lang w:val="en-US"/>
              </w:rPr>
              <w:t>is a dynamic, client-facing role responsible for growing revenue and referral networks across multiple market segments. The incumbent will develop and execute targeted pitch strategies for diverse audiences — from individual consumers to corporate clients and government bodies — using the most effective channels for each segment. This role sits at the intersection of sales, marketing, and community engagement, and requires a genuine passion for mental health advocacy alongside commercial acumen.</w:t>
            </w:r>
          </w:p>
        </w:tc>
      </w:tr>
      <w:tr w:rsidR="00D331A0" w:rsidRPr="007B7A32" w14:paraId="6C992348" w14:textId="77777777" w:rsidTr="006B0298">
        <w:tc>
          <w:tcPr>
            <w:tcW w:w="2265" w:type="dxa"/>
          </w:tcPr>
          <w:p w14:paraId="272F54D2" w14:textId="77777777" w:rsidR="00D331A0" w:rsidRPr="00ED284F" w:rsidRDefault="00D331A0" w:rsidP="00530FB4">
            <w:pPr>
              <w:spacing w:before="60" w:after="60"/>
              <w:rPr>
                <w:b/>
                <w:bCs/>
                <w:color w:val="4D4D4F"/>
              </w:rPr>
            </w:pPr>
            <w:r>
              <w:rPr>
                <w:b/>
                <w:bCs/>
                <w:color w:val="4D4D4F"/>
              </w:rPr>
              <w:t>Position reports to</w:t>
            </w:r>
          </w:p>
        </w:tc>
        <w:tc>
          <w:tcPr>
            <w:tcW w:w="6807" w:type="dxa"/>
            <w:vAlign w:val="center"/>
          </w:tcPr>
          <w:p w14:paraId="5DD5C2A5" w14:textId="3BD493CB" w:rsidR="00D331A0" w:rsidRPr="004A7D13" w:rsidRDefault="004A7D13" w:rsidP="006B0298">
            <w:pPr>
              <w:spacing w:after="60"/>
              <w:rPr>
                <w:rFonts w:eastAsiaTheme="minorEastAsia" w:cstheme="majorHAnsi"/>
                <w:color w:val="4D4D4F"/>
                <w:lang w:val="en-US"/>
              </w:rPr>
            </w:pPr>
            <w:r>
              <w:rPr>
                <w:rFonts w:eastAsiaTheme="minorEastAsia" w:cstheme="majorHAnsi"/>
                <w:color w:val="4D4D4F"/>
                <w:lang w:val="en-US"/>
              </w:rPr>
              <w:t>Executive Director Operations</w:t>
            </w:r>
          </w:p>
        </w:tc>
      </w:tr>
      <w:tr w:rsidR="00D331A0" w:rsidRPr="007B7A32" w14:paraId="76578A91" w14:textId="77777777" w:rsidTr="006B0298">
        <w:tc>
          <w:tcPr>
            <w:tcW w:w="2265" w:type="dxa"/>
          </w:tcPr>
          <w:p w14:paraId="49EB7E36" w14:textId="77777777" w:rsidR="00D331A0" w:rsidRPr="00ED284F" w:rsidRDefault="00D331A0" w:rsidP="00530FB4">
            <w:pPr>
              <w:spacing w:before="60" w:after="60"/>
              <w:rPr>
                <w:b/>
                <w:bCs/>
                <w:color w:val="4D4D4F"/>
              </w:rPr>
            </w:pPr>
            <w:r>
              <w:rPr>
                <w:b/>
                <w:bCs/>
                <w:color w:val="4D4D4F"/>
              </w:rPr>
              <w:t>Mind classification level</w:t>
            </w:r>
          </w:p>
        </w:tc>
        <w:tc>
          <w:tcPr>
            <w:tcW w:w="6807" w:type="dxa"/>
            <w:vAlign w:val="center"/>
          </w:tcPr>
          <w:p w14:paraId="6A55BD99" w14:textId="3DC29C2E" w:rsidR="00D331A0" w:rsidRPr="004A7D13" w:rsidRDefault="004A7D13" w:rsidP="006B0298">
            <w:pPr>
              <w:spacing w:after="60"/>
              <w:rPr>
                <w:rFonts w:eastAsiaTheme="minorEastAsia" w:cstheme="majorHAnsi"/>
                <w:color w:val="4D4D4F"/>
                <w:lang w:val="en-US"/>
              </w:rPr>
            </w:pPr>
            <w:r w:rsidRPr="004A7D13">
              <w:rPr>
                <w:rFonts w:eastAsiaTheme="minorEastAsia" w:cstheme="majorHAnsi"/>
                <w:color w:val="EE0000"/>
                <w:lang w:val="en-US"/>
              </w:rPr>
              <w:t xml:space="preserve">TO BE ASSESSED </w:t>
            </w:r>
          </w:p>
        </w:tc>
      </w:tr>
      <w:tr w:rsidR="00D331A0" w:rsidRPr="007B7A32" w14:paraId="2DC70459" w14:textId="77777777" w:rsidTr="006B0298">
        <w:tc>
          <w:tcPr>
            <w:tcW w:w="2265" w:type="dxa"/>
          </w:tcPr>
          <w:p w14:paraId="176BE3C6" w14:textId="77777777" w:rsidR="00D331A0" w:rsidRPr="00ED284F" w:rsidRDefault="00D331A0" w:rsidP="00530FB4">
            <w:pPr>
              <w:spacing w:before="60" w:after="60"/>
              <w:rPr>
                <w:b/>
                <w:bCs/>
                <w:color w:val="4D4D4F"/>
              </w:rPr>
            </w:pPr>
            <w:r>
              <w:rPr>
                <w:b/>
                <w:bCs/>
                <w:color w:val="4D4D4F"/>
              </w:rPr>
              <w:t>Stream</w:t>
            </w:r>
          </w:p>
        </w:tc>
        <w:tc>
          <w:tcPr>
            <w:tcW w:w="6807" w:type="dxa"/>
            <w:vAlign w:val="center"/>
          </w:tcPr>
          <w:p w14:paraId="210DE997" w14:textId="77777777" w:rsidR="00D331A0" w:rsidRPr="004A7D13" w:rsidRDefault="006B0298" w:rsidP="006B0298">
            <w:pPr>
              <w:spacing w:after="60"/>
              <w:rPr>
                <w:rFonts w:eastAsiaTheme="minorEastAsia" w:cstheme="majorHAnsi"/>
                <w:color w:val="4D4D4F"/>
                <w:lang w:val="en-US"/>
              </w:rPr>
            </w:pPr>
            <w:r w:rsidRPr="004A7D13">
              <w:rPr>
                <w:rFonts w:eastAsiaTheme="minorEastAsia" w:cstheme="majorHAnsi"/>
                <w:color w:val="4D4D4F"/>
                <w:lang w:val="en-US"/>
              </w:rPr>
              <w:t>Mind Allied Health — Commercial / Growth</w:t>
            </w:r>
          </w:p>
        </w:tc>
      </w:tr>
      <w:tr w:rsidR="00D331A0" w:rsidRPr="007B7A32" w14:paraId="2992BB56" w14:textId="77777777" w:rsidTr="00530FB4">
        <w:tc>
          <w:tcPr>
            <w:tcW w:w="2265" w:type="dxa"/>
          </w:tcPr>
          <w:p w14:paraId="46FE908A" w14:textId="77777777" w:rsidR="00D331A0" w:rsidRPr="00ED284F" w:rsidRDefault="00D331A0" w:rsidP="00530FB4">
            <w:pPr>
              <w:spacing w:before="60" w:after="60"/>
              <w:rPr>
                <w:b/>
                <w:bCs/>
                <w:color w:val="4D4D4F"/>
              </w:rPr>
            </w:pPr>
            <w:r>
              <w:rPr>
                <w:b/>
                <w:bCs/>
                <w:color w:val="4D4D4F"/>
              </w:rPr>
              <w:t>About the service</w:t>
            </w:r>
          </w:p>
        </w:tc>
        <w:tc>
          <w:tcPr>
            <w:tcW w:w="6807" w:type="dxa"/>
          </w:tcPr>
          <w:p w14:paraId="2EFBDF8A" w14:textId="71791C38" w:rsidR="00D331A0" w:rsidRPr="00ED284F" w:rsidRDefault="00A6216A" w:rsidP="00530FB4">
            <w:pPr>
              <w:spacing w:after="60"/>
              <w:rPr>
                <w:rFonts w:eastAsiaTheme="minorEastAsia" w:cstheme="majorHAnsi"/>
                <w:color w:val="4D4D4F"/>
                <w:lang w:val="en-US"/>
              </w:rPr>
            </w:pPr>
            <w:r>
              <w:rPr>
                <w:rFonts w:eastAsiaTheme="minorEastAsia" w:cstheme="majorHAnsi"/>
                <w:color w:val="4D4D4F"/>
                <w:lang w:val="en-US"/>
              </w:rPr>
              <w:t>Mind Allied Health delivers evidence-based mental health, psychology, and allied health services to individuals, families, workplaces, and communities. Our mission is to make exceptional mental health support accessible and stigma-free. We offer a continuum of services including psychology, counselling, occupational therapy, dietetics, and coaching — delivered face-to-face, via telehealth, and through workplace and community programs</w:t>
            </w:r>
            <w:r w:rsidRPr="004A7D13">
              <w:rPr>
                <w:rFonts w:eastAsiaTheme="minorEastAsia" w:cstheme="majorHAnsi"/>
                <w:color w:val="4D4D4F"/>
                <w:highlight w:val="yellow"/>
                <w:lang w:val="en-US"/>
              </w:rPr>
              <w:t>.</w:t>
            </w:r>
            <w:r w:rsidR="004A7D13" w:rsidRPr="004A7D13">
              <w:rPr>
                <w:rFonts w:eastAsiaTheme="minorEastAsia" w:cstheme="majorHAnsi"/>
                <w:color w:val="4D4D4F"/>
                <w:highlight w:val="yellow"/>
                <w:lang w:val="en-US"/>
              </w:rPr>
              <w:t xml:space="preserve"> ADELE UPDATE</w:t>
            </w:r>
            <w:r w:rsidR="004A7D13">
              <w:rPr>
                <w:rFonts w:eastAsiaTheme="minorEastAsia" w:cstheme="majorHAnsi"/>
                <w:color w:val="4D4D4F"/>
                <w:lang w:val="en-US"/>
              </w:rPr>
              <w:t xml:space="preserve"> </w:t>
            </w:r>
          </w:p>
          <w:p w14:paraId="0FBB9012" w14:textId="77777777" w:rsidR="00A6216A" w:rsidRPr="00ED284F" w:rsidRDefault="00A6216A" w:rsidP="00530FB4">
            <w:pPr>
              <w:spacing w:after="60"/>
              <w:rPr>
                <w:rFonts w:eastAsiaTheme="minorEastAsia" w:cstheme="majorHAnsi"/>
                <w:color w:val="4D4D4F"/>
                <w:highlight w:val="green"/>
                <w:lang w:val="en-US"/>
              </w:rPr>
            </w:pPr>
          </w:p>
        </w:tc>
      </w:tr>
      <w:tr w:rsidR="00D331A0" w:rsidRPr="007B7A32" w14:paraId="63B42813" w14:textId="77777777" w:rsidTr="00181DAB">
        <w:tc>
          <w:tcPr>
            <w:tcW w:w="2265" w:type="dxa"/>
          </w:tcPr>
          <w:p w14:paraId="7D299FF0" w14:textId="77777777" w:rsidR="00D331A0" w:rsidRPr="00ED284F" w:rsidRDefault="00D331A0" w:rsidP="00530FB4">
            <w:pPr>
              <w:spacing w:before="60" w:after="60"/>
              <w:rPr>
                <w:b/>
                <w:bCs/>
                <w:color w:val="4D4D4F"/>
                <w:highlight w:val="green"/>
              </w:rPr>
            </w:pPr>
            <w:r>
              <w:rPr>
                <w:b/>
                <w:bCs/>
                <w:color w:val="4D4D4F"/>
              </w:rPr>
              <w:t>Position description effective date</w:t>
            </w:r>
          </w:p>
        </w:tc>
        <w:tc>
          <w:tcPr>
            <w:tcW w:w="6807" w:type="dxa"/>
            <w:vAlign w:val="center"/>
          </w:tcPr>
          <w:p w14:paraId="40E9C840" w14:textId="77777777" w:rsidR="00D331A0" w:rsidRPr="00ED284F" w:rsidRDefault="009619F4" w:rsidP="00CC58A1">
            <w:pPr>
              <w:spacing w:after="60"/>
              <w:rPr>
                <w:rFonts w:eastAsiaTheme="minorEastAsia" w:cstheme="majorHAnsi"/>
                <w:color w:val="4D4D4F"/>
                <w:highlight w:val="green"/>
                <w:lang w:val="en-US"/>
              </w:rPr>
            </w:pPr>
            <w:r>
              <w:rPr>
                <w:rFonts w:eastAsiaTheme="minorEastAsia" w:cstheme="majorHAnsi"/>
                <w:color w:val="4D4D4F"/>
                <w:highlight w:val="green"/>
                <w:lang w:val="en-US"/>
              </w:rPr>
              <w:t>June 2026</w:t>
            </w:r>
          </w:p>
        </w:tc>
      </w:tr>
      <w:tr w:rsidR="00D331A0" w:rsidRPr="007B7A32" w14:paraId="66EDF510" w14:textId="77777777" w:rsidTr="00530FB4">
        <w:tc>
          <w:tcPr>
            <w:tcW w:w="9072" w:type="dxa"/>
            <w:gridSpan w:val="2"/>
            <w:shd w:val="clear" w:color="auto" w:fill="00AEEF"/>
          </w:tcPr>
          <w:p w14:paraId="11723F2A" w14:textId="77777777" w:rsidR="00D331A0" w:rsidRPr="000E0DE2" w:rsidRDefault="00D331A0" w:rsidP="00530FB4">
            <w:pPr>
              <w:spacing w:before="60" w:after="60"/>
              <w:jc w:val="center"/>
              <w:rPr>
                <w:rFonts w:eastAsiaTheme="minorEastAsia" w:cstheme="majorHAnsi"/>
                <w:b/>
                <w:color w:val="6B767C"/>
                <w:sz w:val="24"/>
                <w:szCs w:val="24"/>
                <w:lang w:val="en-US"/>
              </w:rPr>
            </w:pPr>
            <w:r>
              <w:rPr>
                <w:b/>
                <w:bCs/>
                <w:color w:val="FFFFFF" w:themeColor="background1"/>
                <w:sz w:val="24"/>
                <w:szCs w:val="24"/>
              </w:rPr>
              <w:t>Responsibilities</w:t>
            </w:r>
          </w:p>
        </w:tc>
      </w:tr>
      <w:tr w:rsidR="00D331A0" w:rsidRPr="007B7A32" w14:paraId="41F54A62" w14:textId="77777777" w:rsidTr="00530FB4">
        <w:tc>
          <w:tcPr>
            <w:tcW w:w="2265" w:type="dxa"/>
          </w:tcPr>
          <w:p w14:paraId="51DF599A" w14:textId="77777777" w:rsidR="00D331A0" w:rsidRPr="00ED284F" w:rsidRDefault="00D331A0" w:rsidP="00530FB4">
            <w:pPr>
              <w:spacing w:before="60" w:after="60"/>
              <w:rPr>
                <w:b/>
                <w:bCs/>
                <w:color w:val="4D4D4F"/>
                <w:highlight w:val="green"/>
              </w:rPr>
            </w:pPr>
            <w:r>
              <w:rPr>
                <w:b/>
                <w:bCs/>
                <w:color w:val="4D4D4F"/>
              </w:rPr>
              <w:t>Sales &amp; Business Development</w:t>
            </w:r>
          </w:p>
        </w:tc>
        <w:tc>
          <w:tcPr>
            <w:tcW w:w="6807" w:type="dxa"/>
          </w:tcPr>
          <w:p w14:paraId="007D4D47" w14:textId="77777777" w:rsidR="005E58FB" w:rsidRPr="00ED284F" w:rsidRDefault="005E58FB" w:rsidP="005E58FB">
            <w:pPr>
              <w:pStyle w:val="ListParagraph"/>
              <w:numPr>
                <w:ilvl w:val="0"/>
                <w:numId w:val="20"/>
              </w:numPr>
              <w:spacing w:after="60"/>
              <w:ind w:left="458" w:hanging="283"/>
              <w:jc w:val="both"/>
              <w:rPr>
                <w:rFonts w:eastAsiaTheme="minorHAnsi"/>
                <w:bCs/>
                <w:color w:val="4D4D4F"/>
                <w:sz w:val="22"/>
                <w:szCs w:val="22"/>
                <w:lang w:val="en-AU"/>
              </w:rPr>
            </w:pPr>
            <w:r>
              <w:rPr>
                <w:rFonts w:cstheme="majorHAnsi"/>
                <w:color w:val="4D4D4F"/>
                <w:sz w:val="22"/>
                <w:szCs w:val="22"/>
              </w:rPr>
              <w:t>Develop and execute a channel-specific sales strategy for each market segment, including annual targets, pipeline management, and conversion metrics.</w:t>
            </w:r>
          </w:p>
          <w:p w14:paraId="620A5896" w14:textId="77777777" w:rsidR="00181DAB" w:rsidRPr="00ED284F" w:rsidRDefault="005E58FB" w:rsidP="005E58FB">
            <w:pPr>
              <w:pStyle w:val="ListParagraph"/>
              <w:numPr>
                <w:ilvl w:val="0"/>
                <w:numId w:val="20"/>
              </w:numPr>
              <w:spacing w:after="60"/>
              <w:ind w:left="458" w:hanging="283"/>
              <w:jc w:val="both"/>
              <w:rPr>
                <w:rFonts w:eastAsiaTheme="minorHAnsi"/>
                <w:bCs/>
                <w:color w:val="4D4D4F"/>
                <w:sz w:val="22"/>
                <w:szCs w:val="22"/>
                <w:lang w:val="en-AU"/>
              </w:rPr>
            </w:pPr>
            <w:r>
              <w:rPr>
                <w:rFonts w:cstheme="majorHAnsi"/>
                <w:color w:val="4D4D4F"/>
                <w:sz w:val="22"/>
                <w:szCs w:val="22"/>
              </w:rPr>
              <w:t>Proactively identify, pursue, and secure new referral agreements, service contracts, and corporate partnership deals.</w:t>
            </w:r>
          </w:p>
          <w:p w14:paraId="620A5897" w14:textId="77777777" w:rsidR="00181DAB" w:rsidRPr="00ED284F" w:rsidRDefault="005E58FB" w:rsidP="005E58FB">
            <w:pPr>
              <w:pStyle w:val="ListParagraph"/>
              <w:numPr>
                <w:ilvl w:val="0"/>
                <w:numId w:val="20"/>
              </w:numPr>
              <w:spacing w:after="60"/>
              <w:ind w:left="458" w:hanging="283"/>
              <w:jc w:val="both"/>
              <w:rPr>
                <w:rFonts w:eastAsiaTheme="minorHAnsi"/>
                <w:bCs/>
                <w:color w:val="4D4D4F"/>
                <w:sz w:val="22"/>
                <w:szCs w:val="22"/>
                <w:lang w:val="en-AU"/>
              </w:rPr>
            </w:pPr>
            <w:r>
              <w:rPr>
                <w:rFonts w:cstheme="majorHAnsi"/>
                <w:color w:val="4D4D4F"/>
                <w:sz w:val="22"/>
                <w:szCs w:val="22"/>
              </w:rPr>
              <w:lastRenderedPageBreak/>
              <w:t>Manage the full sales cycle from lead generation through to onboarding of new clients and referrers.</w:t>
            </w:r>
          </w:p>
          <w:p w14:paraId="620A5898" w14:textId="77777777" w:rsidR="00181DAB" w:rsidRPr="00ED284F" w:rsidRDefault="005E58FB" w:rsidP="005E58FB">
            <w:pPr>
              <w:pStyle w:val="ListParagraph"/>
              <w:numPr>
                <w:ilvl w:val="0"/>
                <w:numId w:val="20"/>
              </w:numPr>
              <w:spacing w:after="60"/>
              <w:ind w:left="458" w:hanging="283"/>
              <w:jc w:val="both"/>
              <w:rPr>
                <w:rFonts w:eastAsiaTheme="minorHAnsi"/>
                <w:bCs/>
                <w:color w:val="4D4D4F"/>
                <w:sz w:val="22"/>
                <w:szCs w:val="22"/>
                <w:lang w:val="en-AU"/>
              </w:rPr>
            </w:pPr>
            <w:r>
              <w:rPr>
                <w:rFonts w:cstheme="majorHAnsi"/>
                <w:color w:val="4D4D4F"/>
                <w:sz w:val="22"/>
                <w:szCs w:val="22"/>
              </w:rPr>
              <w:t>Maintain and grow a portfolio of existing accounts, conducting regular relationship check-ins and business reviews.</w:t>
            </w:r>
          </w:p>
        </w:tc>
      </w:tr>
      <w:tr w:rsidR="00BF3456" w:rsidRPr="007B7A32" w14:paraId="24B3E286" w14:textId="77777777" w:rsidTr="00BF3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Pr>
          <w:p w14:paraId="7A337960" w14:textId="77777777" w:rsidR="00BF3456" w:rsidRPr="00ED284F" w:rsidRDefault="00BF3456" w:rsidP="003D09D1">
            <w:pPr>
              <w:spacing w:before="60" w:after="60"/>
              <w:rPr>
                <w:b/>
                <w:bCs/>
                <w:color w:val="4D4D4F"/>
                <w:highlight w:val="green"/>
              </w:rPr>
            </w:pPr>
            <w:r>
              <w:rPr>
                <w:b/>
                <w:bCs/>
                <w:color w:val="4D4D4F"/>
              </w:rPr>
              <w:lastRenderedPageBreak/>
              <w:t>Multi-Channel Pitching &amp; Stakeholder Management</w:t>
            </w:r>
          </w:p>
        </w:tc>
        <w:tc>
          <w:tcPr>
            <w:tcW w:w="6807" w:type="dxa"/>
          </w:tcPr>
          <w:p w14:paraId="23C447AC" w14:textId="77777777" w:rsidR="00BF3456" w:rsidRPr="00ED284F" w:rsidRDefault="00BF3456" w:rsidP="003D09D1">
            <w:pPr>
              <w:pStyle w:val="ListParagraph"/>
              <w:numPr>
                <w:ilvl w:val="0"/>
                <w:numId w:val="20"/>
              </w:numPr>
              <w:spacing w:after="60"/>
              <w:ind w:left="458" w:hanging="283"/>
              <w:jc w:val="both"/>
              <w:rPr>
                <w:rFonts w:eastAsiaTheme="minorHAnsi"/>
                <w:bCs/>
                <w:color w:val="4D4D4F"/>
                <w:sz w:val="22"/>
                <w:szCs w:val="22"/>
                <w:lang w:val="en-AU"/>
              </w:rPr>
            </w:pPr>
            <w:r>
              <w:rPr>
                <w:rFonts w:cstheme="majorHAnsi"/>
                <w:color w:val="4D4D4F"/>
                <w:sz w:val="22"/>
                <w:szCs w:val="22"/>
              </w:rPr>
              <w:t>Craft and deliver tailored pitches, proposals, and presentations for each audience type — from boardroom-level executive briefings to community information sessions.</w:t>
            </w:r>
          </w:p>
          <w:p w14:paraId="3BFE4543" w14:textId="3ECB67B8" w:rsidR="00BF3456" w:rsidRPr="00ED284F" w:rsidRDefault="00BF3456" w:rsidP="003D09D1">
            <w:pPr>
              <w:pStyle w:val="ListParagraph"/>
              <w:numPr>
                <w:ilvl w:val="0"/>
                <w:numId w:val="20"/>
              </w:numPr>
              <w:spacing w:after="60"/>
              <w:ind w:left="458" w:hanging="283"/>
              <w:jc w:val="both"/>
              <w:rPr>
                <w:rFonts w:eastAsiaTheme="minorHAnsi"/>
                <w:bCs/>
                <w:color w:val="4D4D4F"/>
                <w:sz w:val="22"/>
                <w:szCs w:val="22"/>
                <w:lang w:val="en-AU"/>
              </w:rPr>
            </w:pPr>
            <w:r>
              <w:rPr>
                <w:rFonts w:cstheme="majorHAnsi"/>
                <w:color w:val="4D4D4F"/>
                <w:sz w:val="22"/>
                <w:szCs w:val="22"/>
              </w:rPr>
              <w:t xml:space="preserve">Build and maintain strong, trust-based relationships with GPs, HR professionals, NDIS planners, </w:t>
            </w:r>
            <w:proofErr w:type="gramStart"/>
            <w:r w:rsidR="004A7D13">
              <w:rPr>
                <w:rFonts w:cstheme="majorHAnsi"/>
                <w:color w:val="4D4D4F"/>
                <w:sz w:val="22"/>
                <w:szCs w:val="22"/>
              </w:rPr>
              <w:t xml:space="preserve">Partners </w:t>
            </w:r>
            <w:r>
              <w:rPr>
                <w:rFonts w:cstheme="majorHAnsi"/>
                <w:color w:val="4D4D4F"/>
                <w:sz w:val="22"/>
                <w:szCs w:val="22"/>
              </w:rPr>
              <w:t>,</w:t>
            </w:r>
            <w:proofErr w:type="gramEnd"/>
            <w:r>
              <w:rPr>
                <w:rFonts w:cstheme="majorHAnsi"/>
                <w:color w:val="4D4D4F"/>
                <w:sz w:val="22"/>
                <w:szCs w:val="22"/>
              </w:rPr>
              <w:t xml:space="preserve"> and community organisations.</w:t>
            </w:r>
          </w:p>
          <w:p w14:paraId="3BFE4544" w14:textId="77777777" w:rsidR="00BF3456" w:rsidRPr="00ED284F" w:rsidRDefault="00BF3456" w:rsidP="003D09D1">
            <w:pPr>
              <w:pStyle w:val="ListParagraph"/>
              <w:numPr>
                <w:ilvl w:val="0"/>
                <w:numId w:val="20"/>
              </w:numPr>
              <w:spacing w:after="60"/>
              <w:ind w:left="458" w:hanging="283"/>
              <w:jc w:val="both"/>
              <w:rPr>
                <w:rFonts w:eastAsiaTheme="minorHAnsi"/>
                <w:bCs/>
                <w:color w:val="4D4D4F"/>
                <w:sz w:val="22"/>
                <w:szCs w:val="22"/>
                <w:lang w:val="en-AU"/>
              </w:rPr>
            </w:pPr>
            <w:r>
              <w:rPr>
                <w:rFonts w:cstheme="majorHAnsi"/>
                <w:color w:val="4D4D4F"/>
                <w:sz w:val="22"/>
                <w:szCs w:val="22"/>
              </w:rPr>
              <w:t>Represent Mind Allied Health at industry conferences, trade expos, professional association events, and community forums.</w:t>
            </w:r>
          </w:p>
          <w:p w14:paraId="3BFE4545" w14:textId="77777777" w:rsidR="00BF3456" w:rsidRPr="00ED284F" w:rsidRDefault="00BF3456" w:rsidP="003D09D1">
            <w:pPr>
              <w:pStyle w:val="ListParagraph"/>
              <w:numPr>
                <w:ilvl w:val="0"/>
                <w:numId w:val="20"/>
              </w:numPr>
              <w:spacing w:after="60"/>
              <w:ind w:left="458" w:hanging="283"/>
              <w:jc w:val="both"/>
              <w:rPr>
                <w:rFonts w:eastAsiaTheme="minorHAnsi"/>
                <w:bCs/>
                <w:color w:val="4D4D4F"/>
                <w:sz w:val="22"/>
                <w:szCs w:val="22"/>
                <w:lang w:val="en-AU"/>
              </w:rPr>
            </w:pPr>
            <w:r>
              <w:rPr>
                <w:rFonts w:cstheme="majorHAnsi"/>
                <w:color w:val="4D4D4F"/>
                <w:sz w:val="22"/>
                <w:szCs w:val="22"/>
              </w:rPr>
              <w:t>Collaborate with the clinical team to ensure referral partners receive timely feedback and outcome data.</w:t>
            </w:r>
          </w:p>
        </w:tc>
      </w:tr>
      <w:tr w:rsidR="00BF3456" w:rsidRPr="007B7A32" w14:paraId="19338060" w14:textId="77777777" w:rsidTr="00BF34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5" w:type="dxa"/>
          </w:tcPr>
          <w:p w14:paraId="2405F796" w14:textId="77777777" w:rsidR="00BF3456" w:rsidRPr="00ED284F" w:rsidRDefault="00BF3456" w:rsidP="003D09D1">
            <w:pPr>
              <w:spacing w:before="60" w:after="60"/>
              <w:rPr>
                <w:b/>
                <w:bCs/>
                <w:color w:val="4D4D4F"/>
                <w:highlight w:val="green"/>
              </w:rPr>
            </w:pPr>
            <w:r>
              <w:rPr>
                <w:b/>
                <w:bCs/>
                <w:color w:val="4D4D4F"/>
              </w:rPr>
              <w:t>Marketing Collaboration &amp; Reporting</w:t>
            </w:r>
          </w:p>
        </w:tc>
        <w:tc>
          <w:tcPr>
            <w:tcW w:w="6807" w:type="dxa"/>
          </w:tcPr>
          <w:p w14:paraId="13F80538" w14:textId="77777777" w:rsidR="00BF3456" w:rsidRPr="00ED284F" w:rsidRDefault="00BF3456" w:rsidP="003D09D1">
            <w:pPr>
              <w:pStyle w:val="ListParagraph"/>
              <w:numPr>
                <w:ilvl w:val="0"/>
                <w:numId w:val="20"/>
              </w:numPr>
              <w:spacing w:after="60"/>
              <w:ind w:left="458" w:hanging="283"/>
              <w:jc w:val="both"/>
              <w:rPr>
                <w:rFonts w:eastAsiaTheme="minorHAnsi"/>
                <w:bCs/>
                <w:color w:val="4D4D4F"/>
                <w:sz w:val="22"/>
                <w:szCs w:val="22"/>
                <w:lang w:val="en-AU"/>
              </w:rPr>
            </w:pPr>
            <w:r>
              <w:rPr>
                <w:rFonts w:cstheme="majorHAnsi"/>
                <w:color w:val="4D4D4F"/>
                <w:sz w:val="22"/>
                <w:szCs w:val="22"/>
              </w:rPr>
              <w:t>Partner with the marketing team to ensure campaign messaging aligns with segment-specific sales activities, providing market intelligence and client feedback to inform content strategy.</w:t>
            </w:r>
          </w:p>
          <w:p w14:paraId="2CECF303" w14:textId="6536AF48" w:rsidR="00BF3456" w:rsidRPr="00ED284F" w:rsidRDefault="00BF3456" w:rsidP="003D09D1">
            <w:pPr>
              <w:pStyle w:val="ListParagraph"/>
              <w:numPr>
                <w:ilvl w:val="0"/>
                <w:numId w:val="20"/>
              </w:numPr>
              <w:spacing w:after="60"/>
              <w:ind w:left="458" w:hanging="283"/>
              <w:jc w:val="both"/>
              <w:rPr>
                <w:rFonts w:eastAsiaTheme="minorHAnsi"/>
                <w:bCs/>
                <w:color w:val="4D4D4F"/>
                <w:sz w:val="22"/>
                <w:szCs w:val="22"/>
                <w:lang w:val="en-AU"/>
              </w:rPr>
            </w:pPr>
            <w:r>
              <w:rPr>
                <w:rFonts w:cstheme="majorHAnsi"/>
                <w:color w:val="4D4D4F"/>
                <w:sz w:val="22"/>
                <w:szCs w:val="22"/>
              </w:rPr>
              <w:t>Maintain accurate and up-to-date records including pipeline status, activities, and contact notes.</w:t>
            </w:r>
          </w:p>
          <w:p w14:paraId="2CECF304" w14:textId="77777777" w:rsidR="00BF3456" w:rsidRPr="00ED284F" w:rsidRDefault="00BF3456" w:rsidP="003D09D1">
            <w:pPr>
              <w:pStyle w:val="ListParagraph"/>
              <w:numPr>
                <w:ilvl w:val="0"/>
                <w:numId w:val="20"/>
              </w:numPr>
              <w:spacing w:after="60"/>
              <w:ind w:left="458" w:hanging="283"/>
              <w:jc w:val="both"/>
              <w:rPr>
                <w:rFonts w:eastAsiaTheme="minorHAnsi"/>
                <w:bCs/>
                <w:color w:val="4D4D4F"/>
                <w:sz w:val="22"/>
                <w:szCs w:val="22"/>
                <w:lang w:val="en-AU"/>
              </w:rPr>
            </w:pPr>
            <w:r>
              <w:rPr>
                <w:rFonts w:cstheme="majorHAnsi"/>
                <w:color w:val="4D4D4F"/>
                <w:sz w:val="22"/>
                <w:szCs w:val="22"/>
              </w:rPr>
              <w:t>Report weekly/monthly against KPIs including new referrals, revenue generated, conversion rates, and client satisfaction scores; contribute to quarterly business reviews.</w:t>
            </w:r>
          </w:p>
        </w:tc>
      </w:tr>
      <w:tr w:rsidR="00D331A0" w:rsidRPr="007B7A32" w14:paraId="3C4079C3" w14:textId="77777777" w:rsidTr="00530FB4">
        <w:tc>
          <w:tcPr>
            <w:tcW w:w="2265" w:type="dxa"/>
          </w:tcPr>
          <w:p w14:paraId="67D0A4E2" w14:textId="77777777" w:rsidR="00D331A0" w:rsidRPr="00ED284F" w:rsidRDefault="00D331A0" w:rsidP="00530FB4">
            <w:pPr>
              <w:spacing w:before="60" w:after="60"/>
              <w:rPr>
                <w:b/>
                <w:bCs/>
                <w:color w:val="4D4D4F"/>
              </w:rPr>
            </w:pPr>
            <w:r>
              <w:rPr>
                <w:b/>
                <w:bCs/>
                <w:color w:val="4D4D4F"/>
              </w:rPr>
              <w:t>Professional development</w:t>
            </w:r>
          </w:p>
        </w:tc>
        <w:tc>
          <w:tcPr>
            <w:tcW w:w="6807" w:type="dxa"/>
          </w:tcPr>
          <w:p w14:paraId="4A527347" w14:textId="77777777" w:rsidR="00D331A0" w:rsidRPr="00ED284F" w:rsidRDefault="00D331A0" w:rsidP="00D331A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Undertake relevant training and professional development, including regular supervision, appropriate to the primary work of the service and Mind.</w:t>
            </w:r>
          </w:p>
          <w:p w14:paraId="581D4A53" w14:textId="77777777" w:rsidR="00D331A0" w:rsidRPr="00ED284F" w:rsidRDefault="00D331A0" w:rsidP="00D331A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Participate in reflective practice.</w:t>
            </w:r>
          </w:p>
          <w:p w14:paraId="76B942B1" w14:textId="77777777" w:rsidR="00A6216A" w:rsidRPr="00ED284F" w:rsidRDefault="00A6216A" w:rsidP="00D331A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Complete other duties as directed.</w:t>
            </w:r>
          </w:p>
        </w:tc>
      </w:tr>
      <w:tr w:rsidR="00D331A0" w:rsidRPr="007B7A32" w14:paraId="5C11B802" w14:textId="77777777" w:rsidTr="00530FB4">
        <w:tc>
          <w:tcPr>
            <w:tcW w:w="2265" w:type="dxa"/>
          </w:tcPr>
          <w:p w14:paraId="108BF241" w14:textId="77777777" w:rsidR="00D331A0" w:rsidRPr="00ED284F" w:rsidRDefault="00D331A0" w:rsidP="00530FB4">
            <w:pPr>
              <w:spacing w:before="60" w:after="60"/>
              <w:rPr>
                <w:b/>
                <w:bCs/>
                <w:color w:val="4D4D4F"/>
              </w:rPr>
            </w:pPr>
            <w:r>
              <w:rPr>
                <w:b/>
                <w:bCs/>
                <w:color w:val="4D4D4F"/>
              </w:rPr>
              <w:t>Accountability</w:t>
            </w:r>
          </w:p>
        </w:tc>
        <w:tc>
          <w:tcPr>
            <w:tcW w:w="6807" w:type="dxa"/>
          </w:tcPr>
          <w:p w14:paraId="63D954DE" w14:textId="77777777" w:rsidR="00D331A0" w:rsidRPr="00ED284F" w:rsidRDefault="00D331A0" w:rsidP="00D331A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Conduct yourself in accordance with the Mind Code of Conduct and Mind policies and procedures which may change from time to time.</w:t>
            </w:r>
          </w:p>
          <w:p w14:paraId="2399BDC3" w14:textId="77777777" w:rsidR="00D331A0" w:rsidRPr="00ED284F" w:rsidRDefault="00D331A0" w:rsidP="00D331A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Proactively support Mind’s vision of supporting people facing mental health challenges to live well and be socially included, in accordance with the Mind values.</w:t>
            </w:r>
          </w:p>
        </w:tc>
      </w:tr>
      <w:tr w:rsidR="00D331A0" w:rsidRPr="007B7A32" w14:paraId="454850AC" w14:textId="77777777" w:rsidTr="00530FB4">
        <w:tc>
          <w:tcPr>
            <w:tcW w:w="2265" w:type="dxa"/>
          </w:tcPr>
          <w:p w14:paraId="2ECCFA39" w14:textId="77777777" w:rsidR="00D331A0" w:rsidRPr="00ED284F" w:rsidRDefault="00D331A0" w:rsidP="00530FB4">
            <w:pPr>
              <w:spacing w:before="60" w:after="60"/>
              <w:rPr>
                <w:b/>
                <w:bCs/>
                <w:color w:val="4D4D4F"/>
              </w:rPr>
            </w:pPr>
            <w:r>
              <w:rPr>
                <w:b/>
                <w:bCs/>
                <w:color w:val="4D4D4F"/>
              </w:rPr>
              <w:t>Workplace health, safety and wellbeing</w:t>
            </w:r>
          </w:p>
        </w:tc>
        <w:tc>
          <w:tcPr>
            <w:tcW w:w="6807" w:type="dxa"/>
          </w:tcPr>
          <w:p w14:paraId="08A819DA" w14:textId="77777777" w:rsidR="00D331A0" w:rsidRPr="00ED284F" w:rsidRDefault="00D331A0" w:rsidP="00D331A0">
            <w:pPr>
              <w:pStyle w:val="ListParagraph"/>
              <w:numPr>
                <w:ilvl w:val="0"/>
                <w:numId w:val="19"/>
              </w:numPr>
              <w:spacing w:after="60"/>
              <w:ind w:left="458" w:hanging="283"/>
              <w:jc w:val="both"/>
              <w:rPr>
                <w:rFonts w:cstheme="majorHAnsi"/>
                <w:color w:val="4D4D4F"/>
                <w:sz w:val="22"/>
                <w:szCs w:val="22"/>
              </w:rPr>
            </w:pPr>
            <w:r>
              <w:rPr>
                <w:rFonts w:cstheme="majorHAnsi"/>
                <w:color w:val="4D4D4F"/>
                <w:sz w:val="22"/>
                <w:szCs w:val="22"/>
              </w:rPr>
              <w:t>Contribute actively to the maintenance of a safe workplace.</w:t>
            </w:r>
          </w:p>
          <w:p w14:paraId="33F47C10" w14:textId="77777777" w:rsidR="00D331A0" w:rsidRPr="00ED284F" w:rsidRDefault="00D331A0" w:rsidP="00D331A0">
            <w:pPr>
              <w:pStyle w:val="ListParagraph"/>
              <w:numPr>
                <w:ilvl w:val="0"/>
                <w:numId w:val="19"/>
              </w:numPr>
              <w:spacing w:after="60"/>
              <w:ind w:left="458" w:hanging="283"/>
              <w:jc w:val="both"/>
              <w:rPr>
                <w:rFonts w:cstheme="majorHAnsi"/>
                <w:color w:val="4D4D4F"/>
                <w:sz w:val="22"/>
                <w:szCs w:val="22"/>
              </w:rPr>
            </w:pPr>
            <w:r>
              <w:rPr>
                <w:rFonts w:cstheme="majorHAnsi"/>
                <w:color w:val="4D4D4F"/>
                <w:sz w:val="22"/>
                <w:szCs w:val="22"/>
              </w:rPr>
              <w:t>Ensure all safety issues are reported and addressed as they arise.</w:t>
            </w:r>
          </w:p>
        </w:tc>
      </w:tr>
      <w:tr w:rsidR="00D331A0" w:rsidRPr="007B7A32" w14:paraId="374F2B73" w14:textId="77777777" w:rsidTr="00530FB4">
        <w:tc>
          <w:tcPr>
            <w:tcW w:w="2265" w:type="dxa"/>
          </w:tcPr>
          <w:p w14:paraId="024BAEAE" w14:textId="77777777" w:rsidR="00D331A0" w:rsidRPr="00ED284F" w:rsidDel="00B82735" w:rsidRDefault="00D331A0" w:rsidP="00530FB4">
            <w:pPr>
              <w:spacing w:before="60" w:after="60"/>
              <w:rPr>
                <w:b/>
                <w:bCs/>
                <w:color w:val="4D4D4F"/>
              </w:rPr>
            </w:pPr>
            <w:r>
              <w:rPr>
                <w:b/>
                <w:bCs/>
                <w:color w:val="4D4D4F"/>
              </w:rPr>
              <w:t>Lived experience</w:t>
            </w:r>
          </w:p>
        </w:tc>
        <w:tc>
          <w:tcPr>
            <w:tcW w:w="6807" w:type="dxa"/>
          </w:tcPr>
          <w:p w14:paraId="2C78F4AC" w14:textId="77777777" w:rsidR="00D331A0" w:rsidRPr="00ED284F" w:rsidRDefault="00D331A0" w:rsidP="00D331A0">
            <w:pPr>
              <w:pStyle w:val="ListParagraph"/>
              <w:numPr>
                <w:ilvl w:val="0"/>
                <w:numId w:val="19"/>
              </w:numPr>
              <w:spacing w:after="60"/>
              <w:ind w:left="458" w:hanging="283"/>
              <w:jc w:val="both"/>
              <w:rPr>
                <w:rFonts w:cstheme="majorHAnsi"/>
                <w:color w:val="4D4D4F"/>
                <w:sz w:val="22"/>
                <w:szCs w:val="22"/>
              </w:rPr>
            </w:pPr>
            <w:r>
              <w:rPr>
                <w:rFonts w:cstheme="majorHAnsi"/>
                <w:color w:val="4D4D4F"/>
                <w:sz w:val="22"/>
                <w:szCs w:val="22"/>
              </w:rPr>
              <w:t>Contribute to a workplace that values lived and living experience and the inclusion of consumers, carers and families in the work we do.</w:t>
            </w:r>
          </w:p>
        </w:tc>
      </w:tr>
      <w:tr w:rsidR="00D331A0" w:rsidRPr="007B7A32" w14:paraId="03FC6257" w14:textId="77777777" w:rsidTr="00530FB4">
        <w:tc>
          <w:tcPr>
            <w:tcW w:w="2265" w:type="dxa"/>
          </w:tcPr>
          <w:p w14:paraId="7342B7C3" w14:textId="77777777" w:rsidR="00D331A0" w:rsidRPr="00ED284F" w:rsidRDefault="007C7278" w:rsidP="00530FB4">
            <w:pPr>
              <w:spacing w:before="60" w:after="60"/>
              <w:rPr>
                <w:b/>
                <w:bCs/>
                <w:color w:val="4D4D4F"/>
              </w:rPr>
            </w:pPr>
            <w:r>
              <w:rPr>
                <w:b/>
                <w:bCs/>
                <w:color w:val="4D4D4F"/>
              </w:rPr>
              <w:t>Cultural safety</w:t>
            </w:r>
          </w:p>
        </w:tc>
        <w:tc>
          <w:tcPr>
            <w:tcW w:w="6807" w:type="dxa"/>
          </w:tcPr>
          <w:p w14:paraId="61909DA3" w14:textId="77777777" w:rsidR="00D331A0" w:rsidRPr="00ED284F" w:rsidRDefault="00D331A0" w:rsidP="00D331A0">
            <w:pPr>
              <w:pStyle w:val="ListParagraph"/>
              <w:numPr>
                <w:ilvl w:val="0"/>
                <w:numId w:val="19"/>
              </w:numPr>
              <w:spacing w:after="60"/>
              <w:ind w:left="458" w:hanging="283"/>
              <w:jc w:val="both"/>
              <w:rPr>
                <w:rFonts w:cstheme="majorHAnsi"/>
                <w:color w:val="4D4D4F"/>
                <w:sz w:val="22"/>
                <w:szCs w:val="22"/>
              </w:rPr>
            </w:pPr>
            <w:r>
              <w:rPr>
                <w:rFonts w:cstheme="majorHAnsi"/>
                <w:color w:val="4D4D4F"/>
                <w:sz w:val="22"/>
                <w:szCs w:val="22"/>
              </w:rPr>
              <w:t>Contribute to a culturally safe workforce and service environment for staff, consumers, carers and volunteers from all cultures, genders, sexualities, bodies, abilities, spiritualities, ages and backgrounds.</w:t>
            </w:r>
          </w:p>
        </w:tc>
      </w:tr>
    </w:tbl>
    <w:p w14:paraId="04555B35" w14:textId="77777777" w:rsidR="00AC2F4F" w:rsidRPr="00D331A0" w:rsidRDefault="00AC2F4F">
      <w:pPr>
        <w:sectPr w:rsidR="00AC2F4F" w:rsidRPr="00D331A0" w:rsidSect="00D6082D">
          <w:headerReference w:type="default" r:id="rId8"/>
          <w:footerReference w:type="default" r:id="rId9"/>
          <w:headerReference w:type="first" r:id="rId10"/>
          <w:footerReference w:type="first" r:id="rId11"/>
          <w:pgSz w:w="11906" w:h="16838" w:code="9"/>
          <w:pgMar w:top="1440" w:right="3402" w:bottom="2977" w:left="1440" w:header="737" w:footer="709" w:gutter="0"/>
          <w:cols w:space="708"/>
          <w:titlePg/>
          <w:docGrid w:linePitch="360"/>
        </w:sectPr>
      </w:pPr>
    </w:p>
    <w:tbl>
      <w:tblPr>
        <w:tblStyle w:val="TableGrid"/>
        <w:tblW w:w="9062" w:type="dxa"/>
        <w:tblLook w:val="04A0" w:firstRow="1" w:lastRow="0" w:firstColumn="1" w:lastColumn="0" w:noHBand="0" w:noVBand="1"/>
      </w:tblPr>
      <w:tblGrid>
        <w:gridCol w:w="2263"/>
        <w:gridCol w:w="6799"/>
      </w:tblGrid>
      <w:tr w:rsidR="001F207D" w:rsidRPr="001F207D" w14:paraId="50EC2D59" w14:textId="77777777" w:rsidTr="00530FB4">
        <w:trPr>
          <w:trHeight w:val="393"/>
        </w:trPr>
        <w:tc>
          <w:tcPr>
            <w:tcW w:w="9062" w:type="dxa"/>
            <w:gridSpan w:val="2"/>
            <w:shd w:val="clear" w:color="auto" w:fill="00B0F0"/>
            <w:vAlign w:val="center"/>
          </w:tcPr>
          <w:p w14:paraId="5998AB30" w14:textId="77777777" w:rsidR="00D331A0" w:rsidRPr="001F207D" w:rsidRDefault="00472F50" w:rsidP="00530FB4">
            <w:pPr>
              <w:jc w:val="center"/>
              <w:rPr>
                <w:color w:val="6B767C"/>
              </w:rPr>
            </w:pPr>
            <w:r>
              <w:rPr>
                <w:b/>
                <w:bCs/>
                <w:color w:val="FFFFFF" w:themeColor="background1"/>
                <w:sz w:val="24"/>
                <w:szCs w:val="24"/>
              </w:rPr>
              <w:lastRenderedPageBreak/>
              <w:t>Position Requirements</w:t>
            </w:r>
          </w:p>
        </w:tc>
      </w:tr>
      <w:tr w:rsidR="00881B82" w14:paraId="1F8F5F4D" w14:textId="77777777" w:rsidTr="00881B82">
        <w:trPr>
          <w:trHeight w:val="393"/>
        </w:trPr>
        <w:tc>
          <w:tcPr>
            <w:tcW w:w="2263" w:type="dxa"/>
          </w:tcPr>
          <w:p w14:paraId="0F94922A" w14:textId="77777777" w:rsidR="00881B82" w:rsidRPr="00ED284F" w:rsidRDefault="00881B82" w:rsidP="003D09D1">
            <w:pPr>
              <w:spacing w:before="60" w:after="60"/>
              <w:rPr>
                <w:b/>
                <w:bCs/>
                <w:color w:val="4D4D4F"/>
              </w:rPr>
            </w:pPr>
            <w:r>
              <w:rPr>
                <w:b/>
                <w:bCs/>
                <w:color w:val="4D4D4F"/>
              </w:rPr>
              <w:t>Qualifications required</w:t>
            </w:r>
          </w:p>
        </w:tc>
        <w:tc>
          <w:tcPr>
            <w:tcW w:w="6799" w:type="dxa"/>
          </w:tcPr>
          <w:p w14:paraId="51B81F23" w14:textId="77777777" w:rsidR="00881B82" w:rsidRPr="00ED284F" w:rsidRDefault="00881B82" w:rsidP="00E674FA">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Tertiary qualification in business, marketing, healthcare management, psychology, or a related field (desirable). Minimum 3 years experience in sales, business development, or account management — ideally within healthcare, allied health, EAP, or a related service sector is essential.</w:t>
            </w:r>
          </w:p>
        </w:tc>
      </w:tr>
      <w:tr w:rsidR="00881B82" w14:paraId="48CD10CA" w14:textId="77777777" w:rsidTr="00881B82">
        <w:trPr>
          <w:trHeight w:val="393"/>
        </w:trPr>
        <w:tc>
          <w:tcPr>
            <w:tcW w:w="2263" w:type="dxa"/>
          </w:tcPr>
          <w:p w14:paraId="5A47E1CA" w14:textId="77777777" w:rsidR="00881B82" w:rsidRPr="00ED284F" w:rsidRDefault="00881B82" w:rsidP="008101FD">
            <w:pPr>
              <w:spacing w:before="60" w:after="60"/>
              <w:rPr>
                <w:b/>
                <w:bCs/>
                <w:color w:val="4D4D4F"/>
              </w:rPr>
            </w:pPr>
            <w:r>
              <w:rPr>
                <w:b/>
                <w:bCs/>
                <w:color w:val="4D4D4F"/>
              </w:rPr>
              <w:t>Knowledge, skills and experience required</w:t>
            </w:r>
          </w:p>
        </w:tc>
        <w:tc>
          <w:tcPr>
            <w:tcW w:w="6799" w:type="dxa"/>
          </w:tcPr>
          <w:p w14:paraId="12ADF3E7" w14:textId="77777777" w:rsidR="00881B82" w:rsidRPr="00ED284F" w:rsidRDefault="00881B82" w:rsidP="003D09D1">
            <w:pPr>
              <w:pStyle w:val="ListParagraph"/>
              <w:numPr>
                <w:ilvl w:val="0"/>
                <w:numId w:val="20"/>
              </w:numPr>
              <w:spacing w:after="60"/>
              <w:ind w:left="458" w:hanging="283"/>
              <w:jc w:val="both"/>
              <w:rPr>
                <w:rFonts w:cstheme="majorHAnsi"/>
                <w:color w:val="4D4D4F"/>
                <w:sz w:val="22"/>
                <w:szCs w:val="22"/>
                <w:highlight w:val="green"/>
              </w:rPr>
            </w:pPr>
            <w:r>
              <w:rPr>
                <w:rFonts w:cstheme="majorHAnsi"/>
                <w:color w:val="4D4D4F"/>
                <w:sz w:val="22"/>
                <w:szCs w:val="22"/>
                <w:highlight w:val="green"/>
              </w:rPr>
              <w:t>Proven B2B and B2C sales skills; consultative selling; contract negotiation; ability to close and manage long sales cycles.</w:t>
            </w:r>
          </w:p>
          <w:p w14:paraId="36729F83" w14:textId="77777777" w:rsidR="00E32325" w:rsidRPr="00ED284F" w:rsidRDefault="00E32325" w:rsidP="003D09D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Strong working knowledge of the Australian healthcare system, including Medicare Better Access, NDIS, and private health insurance frameworks.</w:t>
            </w:r>
          </w:p>
          <w:p w14:paraId="665E4013" w14:textId="77777777" w:rsidR="00881B82" w:rsidRPr="00ED284F" w:rsidRDefault="00A033FF" w:rsidP="003D09D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High EQ with ability to adapt tone, language and format for clinical, corporate, government, and community audiences; confident and compelling presenter. Familiarity with CRM platforms (Salesforce, HubSpot, or similar) and digital channels including LinkedIn, email automation, and paid social. A lived experience of mental ill health and recovery or experience caring for a person with mental ill health is desirable.</w:t>
            </w:r>
          </w:p>
        </w:tc>
      </w:tr>
      <w:tr w:rsidR="00144C70" w:rsidRPr="00E6088B" w14:paraId="3264A28D" w14:textId="77777777" w:rsidTr="00881B82">
        <w:trPr>
          <w:trHeight w:val="393"/>
        </w:trPr>
        <w:tc>
          <w:tcPr>
            <w:tcW w:w="2263" w:type="dxa"/>
          </w:tcPr>
          <w:p w14:paraId="7E09E0D5" w14:textId="77777777" w:rsidR="00881B82" w:rsidRPr="00ED284F" w:rsidRDefault="00881B82" w:rsidP="003D09D1">
            <w:pPr>
              <w:spacing w:before="60" w:after="60"/>
              <w:rPr>
                <w:b/>
                <w:bCs/>
                <w:color w:val="4D4D4F"/>
              </w:rPr>
            </w:pPr>
            <w:r>
              <w:rPr>
                <w:b/>
                <w:bCs/>
                <w:color w:val="4D4D4F"/>
              </w:rPr>
              <w:t>Other</w:t>
            </w:r>
          </w:p>
        </w:tc>
        <w:tc>
          <w:tcPr>
            <w:tcW w:w="6799" w:type="dxa"/>
          </w:tcPr>
          <w:p w14:paraId="5C034835" w14:textId="77777777" w:rsidR="00EC3907" w:rsidRPr="00ED284F" w:rsidRDefault="00EC3907" w:rsidP="0009280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Right to work in Australia.</w:t>
            </w:r>
          </w:p>
          <w:p w14:paraId="04F60AC6" w14:textId="77777777" w:rsidR="00EC3907" w:rsidRPr="00ED284F" w:rsidRDefault="00EC3907" w:rsidP="0009280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 xml:space="preserve">Current valid Australian driver’s licence. </w:t>
            </w:r>
            <w:r>
              <w:rPr>
                <w:rFonts w:cstheme="majorHAnsi"/>
                <w:color w:val="4D4D4F"/>
                <w:sz w:val="22"/>
                <w:szCs w:val="22"/>
                <w:highlight w:val="green"/>
              </w:rPr>
              <w:t>(Remove if not applicable)</w:t>
            </w:r>
          </w:p>
          <w:p w14:paraId="6E080885" w14:textId="77777777" w:rsidR="00E674FA" w:rsidRPr="00ED284F" w:rsidRDefault="00EC3907" w:rsidP="0009280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Current NDIS Worker Screening Check Clearance.</w:t>
            </w:r>
          </w:p>
          <w:p w14:paraId="453BD82B" w14:textId="77777777" w:rsidR="00881B82" w:rsidRPr="00ED284F" w:rsidRDefault="00E674FA" w:rsidP="00092800">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Working with Children Check or equivalent (Blue Card - QLD).</w:t>
            </w:r>
          </w:p>
          <w:p w14:paraId="23E0BB38" w14:textId="77777777" w:rsidR="00E6088B" w:rsidRPr="00ED284F" w:rsidRDefault="00E16B3B" w:rsidP="00E6088B">
            <w:pPr>
              <w:pStyle w:val="ListParagraph"/>
              <w:numPr>
                <w:ilvl w:val="0"/>
                <w:numId w:val="20"/>
              </w:numPr>
              <w:spacing w:after="60"/>
              <w:ind w:left="458" w:hanging="283"/>
              <w:jc w:val="both"/>
              <w:rPr>
                <w:rFonts w:cstheme="majorHAnsi"/>
                <w:color w:val="4D4D4F"/>
                <w:sz w:val="22"/>
                <w:szCs w:val="22"/>
              </w:rPr>
            </w:pPr>
            <w:r>
              <w:rPr>
                <w:color w:val="4D4D4F"/>
                <w:sz w:val="22"/>
                <w:szCs w:val="22"/>
                <w:lang w:val="en-AU"/>
              </w:rPr>
              <w:t xml:space="preserve">Able to obtain and provide evidence of vaccinations against COVID-19. </w:t>
            </w:r>
            <w:r>
              <w:rPr>
                <w:rFonts w:cstheme="majorHAnsi"/>
                <w:color w:val="4D4D4F"/>
                <w:sz w:val="22"/>
                <w:szCs w:val="22"/>
                <w:highlight w:val="green"/>
              </w:rPr>
              <w:t>(Remove if not applicable)</w:t>
            </w:r>
          </w:p>
          <w:p w14:paraId="7F7B25C3" w14:textId="77777777" w:rsidR="00040201" w:rsidRPr="00ED284F" w:rsidRDefault="00040201" w:rsidP="00040201">
            <w:pPr>
              <w:pStyle w:val="ListParagraph"/>
              <w:numPr>
                <w:ilvl w:val="0"/>
                <w:numId w:val="20"/>
              </w:numPr>
              <w:spacing w:after="60"/>
              <w:ind w:left="458" w:hanging="283"/>
              <w:jc w:val="both"/>
              <w:rPr>
                <w:rFonts w:cstheme="majorHAnsi"/>
                <w:color w:val="4D4D4F"/>
                <w:sz w:val="22"/>
                <w:szCs w:val="22"/>
              </w:rPr>
            </w:pPr>
            <w:r>
              <w:rPr>
                <w:rFonts w:cstheme="majorHAnsi"/>
                <w:color w:val="4D4D4F"/>
                <w:sz w:val="22"/>
                <w:szCs w:val="22"/>
              </w:rPr>
              <w:t xml:space="preserve">Requirement to bring with you current First Aid and CPR certifications and perform these duties as required as part of the role. </w:t>
            </w:r>
            <w:r>
              <w:rPr>
                <w:rFonts w:cstheme="majorHAnsi"/>
                <w:color w:val="4D4D4F"/>
                <w:sz w:val="22"/>
                <w:szCs w:val="22"/>
                <w:highlight w:val="green"/>
              </w:rPr>
              <w:t>(Required for residential services – remove if not applicable.)</w:t>
            </w:r>
          </w:p>
        </w:tc>
      </w:tr>
    </w:tbl>
    <w:p w14:paraId="59BCC6AD" w14:textId="77777777" w:rsidR="001B7E23" w:rsidRDefault="001B7E23" w:rsidP="00D331A0">
      <w:pPr>
        <w:rPr>
          <w:rFonts w:asciiTheme="majorHAnsi" w:hAnsiTheme="majorHAnsi"/>
          <w:color w:val="6B767C"/>
          <w:sz w:val="18"/>
          <w:szCs w:val="18"/>
        </w:rPr>
      </w:pPr>
    </w:p>
    <w:sectPr w:rsidR="001B7E23" w:rsidSect="00B778B6">
      <w:footerReference w:type="default" r:id="rId12"/>
      <w:pgSz w:w="11906" w:h="16838" w:code="9"/>
      <w:pgMar w:top="1440" w:right="3259" w:bottom="2977"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C3F8" w14:textId="77777777" w:rsidR="00666451" w:rsidRDefault="00666451" w:rsidP="003175E6">
      <w:pPr>
        <w:spacing w:after="0" w:line="240" w:lineRule="auto"/>
      </w:pPr>
      <w:r>
        <w:separator/>
      </w:r>
    </w:p>
  </w:endnote>
  <w:endnote w:type="continuationSeparator" w:id="0">
    <w:p w14:paraId="5FFF0FC5" w14:textId="77777777" w:rsidR="00666451" w:rsidRDefault="00666451" w:rsidP="0031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7D2B" w14:textId="77777777" w:rsidR="003D09D1" w:rsidRPr="00604FCD" w:rsidRDefault="003D09D1" w:rsidP="00437A2A">
    <w:pPr>
      <w:tabs>
        <w:tab w:val="right" w:pos="7064"/>
      </w:tabs>
      <w:jc w:val="both"/>
    </w:pPr>
    <w:r>
      <w:rPr>
        <w:noProof/>
        <w:lang w:eastAsia="en-AU"/>
      </w:rPr>
      <w:drawing>
        <wp:anchor distT="0" distB="0" distL="114300" distR="114300" simplePos="0" relativeHeight="251671552" behindDoc="1" locked="0" layoutInCell="1" allowOverlap="1" wp14:anchorId="01B266FB" wp14:editId="34256D32">
          <wp:simplePos x="0" y="0"/>
          <wp:positionH relativeFrom="column">
            <wp:posOffset>-1301115</wp:posOffset>
          </wp:positionH>
          <wp:positionV relativeFrom="paragraph">
            <wp:posOffset>-1304925</wp:posOffset>
          </wp:positionV>
          <wp:extent cx="7950498" cy="2322830"/>
          <wp:effectExtent l="0" t="0" r="0" b="127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lloon image green.png"/>
                  <pic:cNvPicPr/>
                </pic:nvPicPr>
                <pic:blipFill>
                  <a:blip r:embed="rId1">
                    <a:extLst>
                      <a:ext uri="{28A0092B-C50C-407E-A947-70E740481C1C}">
                        <a14:useLocalDpi xmlns:a14="http://schemas.microsoft.com/office/drawing/2010/main" val="0"/>
                      </a:ext>
                    </a:extLst>
                  </a:blip>
                  <a:stretch>
                    <a:fillRect/>
                  </a:stretch>
                </pic:blipFill>
                <pic:spPr>
                  <a:xfrm>
                    <a:off x="0" y="0"/>
                    <a:ext cx="7950498" cy="232283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06B9" w14:textId="77777777" w:rsidR="003D09D1" w:rsidRPr="00D95190" w:rsidRDefault="003D09D1" w:rsidP="00D95190">
    <w:pPr>
      <w:jc w:val="both"/>
      <w:rPr>
        <w:rFonts w:asciiTheme="majorHAnsi" w:hAnsiTheme="majorHAnsi"/>
        <w:color w:val="6B767C"/>
        <w:sz w:val="18"/>
        <w:szCs w:val="18"/>
      </w:rPr>
    </w:pPr>
    <w:r>
      <w:rPr>
        <w:noProof/>
        <w:lang w:eastAsia="en-AU"/>
      </w:rPr>
      <w:drawing>
        <wp:anchor distT="0" distB="0" distL="114300" distR="114300" simplePos="0" relativeHeight="251667456" behindDoc="1" locked="0" layoutInCell="1" allowOverlap="1" wp14:anchorId="016E5C8A" wp14:editId="01E0C7B1">
          <wp:simplePos x="0" y="0"/>
          <wp:positionH relativeFrom="column">
            <wp:posOffset>-1129665</wp:posOffset>
          </wp:positionH>
          <wp:positionV relativeFrom="paragraph">
            <wp:posOffset>-751840</wp:posOffset>
          </wp:positionV>
          <wp:extent cx="7950498" cy="2322830"/>
          <wp:effectExtent l="0" t="0" r="0" b="127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lloon image green.png"/>
                  <pic:cNvPicPr/>
                </pic:nvPicPr>
                <pic:blipFill>
                  <a:blip r:embed="rId1">
                    <a:extLst>
                      <a:ext uri="{28A0092B-C50C-407E-A947-70E740481C1C}">
                        <a14:useLocalDpi xmlns:a14="http://schemas.microsoft.com/office/drawing/2010/main" val="0"/>
                      </a:ext>
                    </a:extLst>
                  </a:blip>
                  <a:stretch>
                    <a:fillRect/>
                  </a:stretch>
                </pic:blipFill>
                <pic:spPr>
                  <a:xfrm>
                    <a:off x="0" y="0"/>
                    <a:ext cx="7950498" cy="2322830"/>
                  </a:xfrm>
                  <a:prstGeom prst="rect">
                    <a:avLst/>
                  </a:prstGeom>
                </pic:spPr>
              </pic:pic>
            </a:graphicData>
          </a:graphic>
          <wp14:sizeRelH relativeFrom="margin">
            <wp14:pctWidth>0</wp14:pctWidth>
          </wp14:sizeRelH>
          <wp14:sizeRelV relativeFrom="margin">
            <wp14:pctHeight>0</wp14:pctHeight>
          </wp14:sizeRelV>
        </wp:anchor>
      </w:drawing>
    </w:r>
    <w:r w:rsidRPr="00513CC6">
      <w:rPr>
        <w:rFonts w:asciiTheme="majorHAnsi" w:hAnsiTheme="majorHAnsi"/>
        <w:color w:val="6B767C"/>
        <w:sz w:val="18"/>
        <w:szCs w:val="18"/>
      </w:rPr>
      <w:t>Mind values the experience and contribution of people from all cultures, genders, sexualities, bodies, abilities, ages, spiritualities and backgrounds.  We encourage applications from Aboriginal and Torres Strait Islander peoples, people with a lived experience of mental ill-health and recovery, people living with disability, those who identify as LGBTIQ and applicants from culturally and linguistically diverse backgrounds.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1660" w14:textId="77777777" w:rsidR="003D09D1" w:rsidRPr="008B1CD5" w:rsidRDefault="003D09D1" w:rsidP="00202FAD">
    <w:pPr>
      <w:widowControl w:val="0"/>
      <w:autoSpaceDE w:val="0"/>
      <w:autoSpaceDN w:val="0"/>
      <w:adjustRightInd w:val="0"/>
      <w:spacing w:after="120"/>
      <w:rPr>
        <w:rFonts w:asciiTheme="majorHAnsi" w:hAnsiTheme="majorHAnsi"/>
        <w:color w:val="6B767C"/>
        <w:sz w:val="18"/>
        <w:szCs w:val="18"/>
      </w:rPr>
    </w:pPr>
    <w:r>
      <w:rPr>
        <w:noProof/>
        <w:lang w:eastAsia="en-AU"/>
      </w:rPr>
      <w:drawing>
        <wp:anchor distT="0" distB="0" distL="114300" distR="114300" simplePos="0" relativeHeight="251663360" behindDoc="1" locked="0" layoutInCell="1" allowOverlap="1" wp14:anchorId="27599590" wp14:editId="32CB867F">
          <wp:simplePos x="0" y="0"/>
          <wp:positionH relativeFrom="column">
            <wp:posOffset>-1308100</wp:posOffset>
          </wp:positionH>
          <wp:positionV relativeFrom="paragraph">
            <wp:posOffset>-692001</wp:posOffset>
          </wp:positionV>
          <wp:extent cx="7950498" cy="2322830"/>
          <wp:effectExtent l="0" t="0" r="0" b="127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lloon image green.png"/>
                  <pic:cNvPicPr/>
                </pic:nvPicPr>
                <pic:blipFill>
                  <a:blip r:embed="rId1">
                    <a:extLst>
                      <a:ext uri="{28A0092B-C50C-407E-A947-70E740481C1C}">
                        <a14:useLocalDpi xmlns:a14="http://schemas.microsoft.com/office/drawing/2010/main" val="0"/>
                      </a:ext>
                    </a:extLst>
                  </a:blip>
                  <a:stretch>
                    <a:fillRect/>
                  </a:stretch>
                </pic:blipFill>
                <pic:spPr>
                  <a:xfrm>
                    <a:off x="0" y="0"/>
                    <a:ext cx="7950498" cy="2322830"/>
                  </a:xfrm>
                  <a:prstGeom prst="rect">
                    <a:avLst/>
                  </a:prstGeom>
                </pic:spPr>
              </pic:pic>
            </a:graphicData>
          </a:graphic>
          <wp14:sizeRelH relativeFrom="margin">
            <wp14:pctWidth>0</wp14:pctWidth>
          </wp14:sizeRelH>
          <wp14:sizeRelV relativeFrom="margin">
            <wp14:pctHeight>0</wp14:pctHeight>
          </wp14:sizeRelV>
        </wp:anchor>
      </w:drawing>
    </w:r>
    <w:r w:rsidRPr="008B1CD5">
      <w:rPr>
        <w:rFonts w:asciiTheme="majorHAnsi" w:hAnsiTheme="majorHAnsi"/>
        <w:color w:val="6B767C"/>
        <w:sz w:val="18"/>
        <w:szCs w:val="18"/>
      </w:rPr>
      <w:t>To learn more about Mind visit mindaustralia.org.au</w:t>
    </w:r>
  </w:p>
  <w:p w14:paraId="5335541D" w14:textId="77777777" w:rsidR="003D09D1" w:rsidRPr="008B1CD5" w:rsidRDefault="003D09D1" w:rsidP="00202FAD">
    <w:pPr>
      <w:widowControl w:val="0"/>
      <w:tabs>
        <w:tab w:val="left" w:pos="1976"/>
        <w:tab w:val="left" w:pos="2696"/>
      </w:tabs>
      <w:autoSpaceDE w:val="0"/>
      <w:autoSpaceDN w:val="0"/>
      <w:adjustRightInd w:val="0"/>
      <w:spacing w:after="0"/>
      <w:rPr>
        <w:rFonts w:asciiTheme="majorHAnsi" w:hAnsiTheme="majorHAnsi"/>
        <w:color w:val="6B767C"/>
        <w:sz w:val="18"/>
        <w:szCs w:val="18"/>
      </w:rPr>
    </w:pPr>
    <w:r>
      <w:rPr>
        <w:noProof/>
        <w:lang w:eastAsia="en-AU"/>
      </w:rPr>
      <w:drawing>
        <wp:anchor distT="0" distB="0" distL="114300" distR="114300" simplePos="0" relativeHeight="251665408" behindDoc="0" locked="0" layoutInCell="1" allowOverlap="1" wp14:anchorId="44F384C6" wp14:editId="4D397ED3">
          <wp:simplePos x="0" y="0"/>
          <wp:positionH relativeFrom="column">
            <wp:posOffset>0</wp:posOffset>
          </wp:positionH>
          <wp:positionV relativeFrom="paragraph">
            <wp:posOffset>0</wp:posOffset>
          </wp:positionV>
          <wp:extent cx="1014561" cy="175234"/>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4561" cy="175234"/>
                  </a:xfrm>
                  <a:prstGeom prst="rect">
                    <a:avLst/>
                  </a:prstGeom>
                  <a:noFill/>
                  <a:ln>
                    <a:noFill/>
                  </a:ln>
                </pic:spPr>
              </pic:pic>
            </a:graphicData>
          </a:graphic>
        </wp:anchor>
      </w:drawing>
    </w:r>
  </w:p>
  <w:p w14:paraId="3FE8C450" w14:textId="77777777" w:rsidR="003D09D1" w:rsidRPr="008B1CD5" w:rsidRDefault="003D09D1" w:rsidP="00202FAD">
    <w:pPr>
      <w:widowControl w:val="0"/>
      <w:autoSpaceDE w:val="0"/>
      <w:autoSpaceDN w:val="0"/>
      <w:adjustRightInd w:val="0"/>
      <w:spacing w:before="120" w:after="0"/>
      <w:rPr>
        <w:rFonts w:asciiTheme="majorHAnsi" w:hAnsiTheme="majorHAnsi"/>
        <w:color w:val="6B767C"/>
        <w:sz w:val="18"/>
        <w:szCs w:val="18"/>
      </w:rPr>
    </w:pPr>
    <w:r w:rsidRPr="008B1CD5">
      <w:rPr>
        <w:rFonts w:asciiTheme="majorHAnsi" w:hAnsiTheme="majorHAnsi"/>
        <w:color w:val="6B767C"/>
        <w:sz w:val="18"/>
        <w:szCs w:val="18"/>
      </w:rPr>
      <w:t>You can also watch our Great Minds series of videos by visiting</w:t>
    </w:r>
  </w:p>
  <w:p w14:paraId="5FBFFA7E" w14:textId="77777777" w:rsidR="003D09D1" w:rsidRPr="008B1CD5" w:rsidRDefault="003D09D1" w:rsidP="00202FAD">
    <w:pPr>
      <w:spacing w:after="0"/>
      <w:rPr>
        <w:rFonts w:asciiTheme="majorHAnsi" w:hAnsiTheme="majorHAnsi"/>
        <w:color w:val="6B767C"/>
        <w:sz w:val="18"/>
        <w:szCs w:val="18"/>
      </w:rPr>
    </w:pPr>
    <w:r w:rsidRPr="008B1CD5">
      <w:rPr>
        <w:rFonts w:asciiTheme="majorHAnsi" w:hAnsiTheme="majorHAnsi"/>
        <w:color w:val="6B767C"/>
        <w:sz w:val="18"/>
        <w:szCs w:val="18"/>
      </w:rPr>
      <w:t>www.youtube.com/mindaustralia</w:t>
    </w:r>
  </w:p>
  <w:p w14:paraId="62F98DE9" w14:textId="77777777" w:rsidR="003D09D1" w:rsidRPr="008B1CD5" w:rsidRDefault="003D09D1" w:rsidP="00202FAD">
    <w:pPr>
      <w:tabs>
        <w:tab w:val="left" w:pos="1680"/>
      </w:tabs>
      <w:spacing w:after="0"/>
      <w:rPr>
        <w:rFonts w:asciiTheme="majorHAnsi" w:hAnsiTheme="majorHAnsi"/>
        <w:color w:val="6B767C"/>
        <w:sz w:val="18"/>
        <w:szCs w:val="18"/>
      </w:rPr>
    </w:pPr>
    <w:r w:rsidRPr="008B1CD5">
      <w:rPr>
        <w:rFonts w:asciiTheme="majorHAnsi" w:hAnsiTheme="majorHAnsi"/>
        <w:color w:val="6B767C"/>
        <w:sz w:val="18"/>
        <w:szCs w:val="18"/>
      </w:rPr>
      <w:t>Mind Australia Limited ABN 22 005 063 589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EABF" w14:textId="77777777" w:rsidR="00666451" w:rsidRDefault="00666451" w:rsidP="003175E6">
      <w:pPr>
        <w:spacing w:after="0" w:line="240" w:lineRule="auto"/>
      </w:pPr>
      <w:r>
        <w:separator/>
      </w:r>
    </w:p>
  </w:footnote>
  <w:footnote w:type="continuationSeparator" w:id="0">
    <w:p w14:paraId="080D3D2F" w14:textId="77777777" w:rsidR="00666451" w:rsidRDefault="00666451" w:rsidP="0031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EC2B" w14:textId="77777777" w:rsidR="003D09D1" w:rsidRDefault="003D09D1" w:rsidP="003175E6">
    <w:pPr>
      <w:pStyle w:val="Header"/>
      <w:jc w:val="right"/>
    </w:pPr>
  </w:p>
  <w:p w14:paraId="4CC4F51A" w14:textId="77777777" w:rsidR="003D09D1" w:rsidRDefault="003D09D1" w:rsidP="003175E6">
    <w:pPr>
      <w:pStyle w:val="Header"/>
      <w:jc w:val="right"/>
    </w:pPr>
    <w:r>
      <w:rPr>
        <w:noProof/>
        <w:lang w:eastAsia="en-AU"/>
      </w:rPr>
      <w:drawing>
        <wp:anchor distT="0" distB="0" distL="114300" distR="114300" simplePos="0" relativeHeight="251659264" behindDoc="1" locked="0" layoutInCell="1" allowOverlap="1" wp14:anchorId="5D47E87A" wp14:editId="2AAE745A">
          <wp:simplePos x="0" y="0"/>
          <wp:positionH relativeFrom="column">
            <wp:posOffset>4271645</wp:posOffset>
          </wp:positionH>
          <wp:positionV relativeFrom="paragraph">
            <wp:posOffset>-252095</wp:posOffset>
          </wp:positionV>
          <wp:extent cx="1537200" cy="88200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37200" cy="882000"/>
                  </a:xfrm>
                  <a:prstGeom prst="rect">
                    <a:avLst/>
                  </a:prstGeom>
                </pic:spPr>
              </pic:pic>
            </a:graphicData>
          </a:graphic>
          <wp14:sizeRelH relativeFrom="margin">
            <wp14:pctWidth>0</wp14:pctWidth>
          </wp14:sizeRelH>
          <wp14:sizeRelV relativeFrom="margin">
            <wp14:pctHeight>0</wp14:pctHeight>
          </wp14:sizeRelV>
        </wp:anchor>
      </w:drawing>
    </w:r>
  </w:p>
  <w:p w14:paraId="3AFBCB39" w14:textId="77777777" w:rsidR="003D09D1" w:rsidRDefault="003D09D1" w:rsidP="003175E6">
    <w:pPr>
      <w:pStyle w:val="Header"/>
      <w:jc w:val="right"/>
    </w:pPr>
  </w:p>
  <w:p w14:paraId="68B02F4F" w14:textId="77777777" w:rsidR="003D09D1" w:rsidRDefault="003D09D1" w:rsidP="003175E6">
    <w:pPr>
      <w:pStyle w:val="Header"/>
      <w:jc w:val="right"/>
    </w:pPr>
  </w:p>
  <w:p w14:paraId="4A13CF3A" w14:textId="77777777" w:rsidR="003D09D1" w:rsidRDefault="003D09D1" w:rsidP="003175E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95CC" w14:textId="77777777" w:rsidR="003D09D1" w:rsidRDefault="003D09D1">
    <w:pPr>
      <w:pStyle w:val="Header"/>
    </w:pPr>
  </w:p>
  <w:p w14:paraId="73A4830E" w14:textId="77777777" w:rsidR="003D09D1" w:rsidRDefault="003D09D1">
    <w:pPr>
      <w:pStyle w:val="Header"/>
    </w:pPr>
    <w:r>
      <w:rPr>
        <w:noProof/>
        <w:lang w:eastAsia="en-AU"/>
      </w:rPr>
      <w:drawing>
        <wp:anchor distT="0" distB="0" distL="114300" distR="114300" simplePos="0" relativeHeight="251669504" behindDoc="1" locked="0" layoutInCell="1" allowOverlap="1" wp14:anchorId="1ADAF1FB" wp14:editId="5C81FA5B">
          <wp:simplePos x="0" y="0"/>
          <wp:positionH relativeFrom="column">
            <wp:posOffset>4229681</wp:posOffset>
          </wp:positionH>
          <wp:positionV relativeFrom="paragraph">
            <wp:posOffset>-146050</wp:posOffset>
          </wp:positionV>
          <wp:extent cx="1537200" cy="882000"/>
          <wp:effectExtent l="0" t="0" r="0" b="762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37200" cy="882000"/>
                  </a:xfrm>
                  <a:prstGeom prst="rect">
                    <a:avLst/>
                  </a:prstGeom>
                </pic:spPr>
              </pic:pic>
            </a:graphicData>
          </a:graphic>
          <wp14:sizeRelH relativeFrom="margin">
            <wp14:pctWidth>0</wp14:pctWidth>
          </wp14:sizeRelH>
          <wp14:sizeRelV relativeFrom="margin">
            <wp14:pctHeight>0</wp14:pctHeight>
          </wp14:sizeRelV>
        </wp:anchor>
      </w:drawing>
    </w:r>
  </w:p>
  <w:p w14:paraId="0944A906" w14:textId="77777777" w:rsidR="003D09D1" w:rsidRDefault="003D09D1">
    <w:pPr>
      <w:pStyle w:val="Header"/>
    </w:pPr>
  </w:p>
  <w:p w14:paraId="2A150540" w14:textId="77777777" w:rsidR="003D09D1" w:rsidRDefault="003D09D1">
    <w:pPr>
      <w:pStyle w:val="Header"/>
    </w:pPr>
  </w:p>
  <w:p w14:paraId="03773954" w14:textId="77777777" w:rsidR="003D09D1" w:rsidRDefault="003D0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E0"/>
    <w:multiLevelType w:val="hybridMultilevel"/>
    <w:tmpl w:val="D876AEB8"/>
    <w:lvl w:ilvl="0" w:tplc="19BCA68C">
      <w:numFmt w:val="bullet"/>
      <w:lvlText w:val="•"/>
      <w:lvlJc w:val="left"/>
      <w:pPr>
        <w:ind w:left="1440" w:hanging="720"/>
      </w:pPr>
      <w:rPr>
        <w:rFonts w:ascii="Calibri" w:eastAsiaTheme="minorHAnsi" w:hAnsi="Calibri" w:cstheme="maj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BD361A"/>
    <w:multiLevelType w:val="hybridMultilevel"/>
    <w:tmpl w:val="293EB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6526E2"/>
    <w:multiLevelType w:val="hybridMultilevel"/>
    <w:tmpl w:val="F356B36E"/>
    <w:lvl w:ilvl="0" w:tplc="8F2025C8">
      <w:start w:val="1"/>
      <w:numFmt w:val="bullet"/>
      <w:lvlText w:val=""/>
      <w:lvlJc w:val="left"/>
      <w:pPr>
        <w:ind w:left="510" w:hanging="227"/>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FC35EAD"/>
    <w:multiLevelType w:val="hybridMultilevel"/>
    <w:tmpl w:val="D20CB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F2625B"/>
    <w:multiLevelType w:val="hybridMultilevel"/>
    <w:tmpl w:val="29F86A6C"/>
    <w:lvl w:ilvl="0" w:tplc="19BCA68C">
      <w:numFmt w:val="bullet"/>
      <w:lvlText w:val="•"/>
      <w:lvlJc w:val="left"/>
      <w:pPr>
        <w:ind w:left="1080" w:hanging="720"/>
      </w:pPr>
      <w:rPr>
        <w:rFonts w:ascii="Calibri" w:eastAsiaTheme="minorHAnsi" w:hAnsi="Calibri"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FD64DA"/>
    <w:multiLevelType w:val="hybridMultilevel"/>
    <w:tmpl w:val="C21E6AE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2924DA"/>
    <w:multiLevelType w:val="hybridMultilevel"/>
    <w:tmpl w:val="D1DA51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EB1946"/>
    <w:multiLevelType w:val="hybridMultilevel"/>
    <w:tmpl w:val="38E61D12"/>
    <w:lvl w:ilvl="0" w:tplc="0C090001">
      <w:start w:val="1"/>
      <w:numFmt w:val="bullet"/>
      <w:lvlText w:val=""/>
      <w:lvlJc w:val="left"/>
      <w:pPr>
        <w:tabs>
          <w:tab w:val="num" w:pos="170"/>
        </w:tabs>
        <w:ind w:left="170" w:hanging="170"/>
      </w:pPr>
      <w:rPr>
        <w:rFonts w:ascii="Symbol" w:hAnsi="Symbol" w:hint="default"/>
      </w:rPr>
    </w:lvl>
    <w:lvl w:ilvl="1" w:tplc="A552D41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3C5C5CFB"/>
    <w:multiLevelType w:val="hybridMultilevel"/>
    <w:tmpl w:val="98801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AF2B92"/>
    <w:multiLevelType w:val="hybridMultilevel"/>
    <w:tmpl w:val="70E0B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5D36C5A"/>
    <w:multiLevelType w:val="hybridMultilevel"/>
    <w:tmpl w:val="30E2C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D014B3"/>
    <w:multiLevelType w:val="hybridMultilevel"/>
    <w:tmpl w:val="B4186D5C"/>
    <w:lvl w:ilvl="0" w:tplc="4768CAE0">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53CC1082"/>
    <w:multiLevelType w:val="hybridMultilevel"/>
    <w:tmpl w:val="2EC48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046403"/>
    <w:multiLevelType w:val="hybridMultilevel"/>
    <w:tmpl w:val="07B85A76"/>
    <w:lvl w:ilvl="0" w:tplc="B60ED06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5CAA1FA7"/>
    <w:multiLevelType w:val="hybridMultilevel"/>
    <w:tmpl w:val="0B5ADBAE"/>
    <w:lvl w:ilvl="0" w:tplc="33CA218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5FC66910"/>
    <w:multiLevelType w:val="hybridMultilevel"/>
    <w:tmpl w:val="C3844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3142F2"/>
    <w:multiLevelType w:val="hybridMultilevel"/>
    <w:tmpl w:val="DA36C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C5FFB"/>
    <w:multiLevelType w:val="hybridMultilevel"/>
    <w:tmpl w:val="EDF2FB4C"/>
    <w:lvl w:ilvl="0" w:tplc="19BCA68C">
      <w:numFmt w:val="bullet"/>
      <w:lvlText w:val="•"/>
      <w:lvlJc w:val="left"/>
      <w:pPr>
        <w:ind w:left="1080" w:hanging="720"/>
      </w:pPr>
      <w:rPr>
        <w:rFonts w:ascii="Calibri" w:eastAsiaTheme="minorHAnsi" w:hAnsi="Calibri"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D019E6"/>
    <w:multiLevelType w:val="hybridMultilevel"/>
    <w:tmpl w:val="7C4028E2"/>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F1D4EAB"/>
    <w:multiLevelType w:val="hybridMultilevel"/>
    <w:tmpl w:val="A12A41AA"/>
    <w:lvl w:ilvl="0" w:tplc="708054DC">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num w:numId="1" w16cid:durableId="1983461603">
    <w:abstractNumId w:val="3"/>
  </w:num>
  <w:num w:numId="2" w16cid:durableId="530076488">
    <w:abstractNumId w:val="10"/>
  </w:num>
  <w:num w:numId="3" w16cid:durableId="675421643">
    <w:abstractNumId w:val="6"/>
  </w:num>
  <w:num w:numId="4" w16cid:durableId="1941915443">
    <w:abstractNumId w:val="2"/>
  </w:num>
  <w:num w:numId="5" w16cid:durableId="1827480053">
    <w:abstractNumId w:val="1"/>
  </w:num>
  <w:num w:numId="6" w16cid:durableId="987200523">
    <w:abstractNumId w:val="8"/>
  </w:num>
  <w:num w:numId="7" w16cid:durableId="1942057246">
    <w:abstractNumId w:val="13"/>
  </w:num>
  <w:num w:numId="8" w16cid:durableId="772825154">
    <w:abstractNumId w:val="9"/>
  </w:num>
  <w:num w:numId="9" w16cid:durableId="683094159">
    <w:abstractNumId w:val="7"/>
  </w:num>
  <w:num w:numId="10" w16cid:durableId="137888248">
    <w:abstractNumId w:val="19"/>
  </w:num>
  <w:num w:numId="11" w16cid:durableId="604312500">
    <w:abstractNumId w:val="11"/>
  </w:num>
  <w:num w:numId="12" w16cid:durableId="1493914204">
    <w:abstractNumId w:val="14"/>
  </w:num>
  <w:num w:numId="13" w16cid:durableId="1229727127">
    <w:abstractNumId w:val="16"/>
  </w:num>
  <w:num w:numId="14" w16cid:durableId="1353385321">
    <w:abstractNumId w:val="17"/>
  </w:num>
  <w:num w:numId="15" w16cid:durableId="1483427443">
    <w:abstractNumId w:val="4"/>
  </w:num>
  <w:num w:numId="16" w16cid:durableId="1570770093">
    <w:abstractNumId w:val="0"/>
  </w:num>
  <w:num w:numId="17" w16cid:durableId="1869637748">
    <w:abstractNumId w:val="18"/>
  </w:num>
  <w:num w:numId="18" w16cid:durableId="737286233">
    <w:abstractNumId w:val="15"/>
  </w:num>
  <w:num w:numId="19" w16cid:durableId="1893074599">
    <w:abstractNumId w:val="12"/>
  </w:num>
  <w:num w:numId="20" w16cid:durableId="95062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16A"/>
    <w:rsid w:val="000127AD"/>
    <w:rsid w:val="0002487F"/>
    <w:rsid w:val="00040201"/>
    <w:rsid w:val="000473CD"/>
    <w:rsid w:val="00092800"/>
    <w:rsid w:val="000F089E"/>
    <w:rsid w:val="000F3351"/>
    <w:rsid w:val="00144C70"/>
    <w:rsid w:val="00146E40"/>
    <w:rsid w:val="00147F19"/>
    <w:rsid w:val="00162D00"/>
    <w:rsid w:val="001710E5"/>
    <w:rsid w:val="00181DAB"/>
    <w:rsid w:val="00190B9A"/>
    <w:rsid w:val="001A4ADD"/>
    <w:rsid w:val="001B525E"/>
    <w:rsid w:val="001B7E23"/>
    <w:rsid w:val="001F207D"/>
    <w:rsid w:val="001F7922"/>
    <w:rsid w:val="00202FAD"/>
    <w:rsid w:val="00231C43"/>
    <w:rsid w:val="00253537"/>
    <w:rsid w:val="00277123"/>
    <w:rsid w:val="0029397B"/>
    <w:rsid w:val="002D60C9"/>
    <w:rsid w:val="002E3EE3"/>
    <w:rsid w:val="002F0B07"/>
    <w:rsid w:val="002F5C5B"/>
    <w:rsid w:val="003175E6"/>
    <w:rsid w:val="00324148"/>
    <w:rsid w:val="0033629C"/>
    <w:rsid w:val="00385EE4"/>
    <w:rsid w:val="003D09D1"/>
    <w:rsid w:val="00413441"/>
    <w:rsid w:val="00437A2A"/>
    <w:rsid w:val="00472F50"/>
    <w:rsid w:val="00487E9F"/>
    <w:rsid w:val="004A7D13"/>
    <w:rsid w:val="004F69C5"/>
    <w:rsid w:val="005032B9"/>
    <w:rsid w:val="00513262"/>
    <w:rsid w:val="00513CC6"/>
    <w:rsid w:val="00530FB4"/>
    <w:rsid w:val="00534442"/>
    <w:rsid w:val="00541DBE"/>
    <w:rsid w:val="00551816"/>
    <w:rsid w:val="00552D60"/>
    <w:rsid w:val="00573F44"/>
    <w:rsid w:val="00595D03"/>
    <w:rsid w:val="005E53CA"/>
    <w:rsid w:val="005E58FB"/>
    <w:rsid w:val="00604FCD"/>
    <w:rsid w:val="00614469"/>
    <w:rsid w:val="006213B7"/>
    <w:rsid w:val="006337F7"/>
    <w:rsid w:val="00666451"/>
    <w:rsid w:val="00666B8D"/>
    <w:rsid w:val="00692D66"/>
    <w:rsid w:val="006B0298"/>
    <w:rsid w:val="006C7DA5"/>
    <w:rsid w:val="006E1424"/>
    <w:rsid w:val="00710E56"/>
    <w:rsid w:val="00773F99"/>
    <w:rsid w:val="00776578"/>
    <w:rsid w:val="007B1A38"/>
    <w:rsid w:val="007B7A32"/>
    <w:rsid w:val="007C7278"/>
    <w:rsid w:val="007E3782"/>
    <w:rsid w:val="008101FD"/>
    <w:rsid w:val="008210CD"/>
    <w:rsid w:val="0083059F"/>
    <w:rsid w:val="00831786"/>
    <w:rsid w:val="00833285"/>
    <w:rsid w:val="008344EE"/>
    <w:rsid w:val="008479C1"/>
    <w:rsid w:val="00881B82"/>
    <w:rsid w:val="00890560"/>
    <w:rsid w:val="008B1CD5"/>
    <w:rsid w:val="008B7AD2"/>
    <w:rsid w:val="00905143"/>
    <w:rsid w:val="009060AA"/>
    <w:rsid w:val="0095122E"/>
    <w:rsid w:val="009619F4"/>
    <w:rsid w:val="009626FE"/>
    <w:rsid w:val="00A033FF"/>
    <w:rsid w:val="00A13DD9"/>
    <w:rsid w:val="00A6216A"/>
    <w:rsid w:val="00A74E91"/>
    <w:rsid w:val="00A84DF7"/>
    <w:rsid w:val="00A87CD8"/>
    <w:rsid w:val="00AC2F4F"/>
    <w:rsid w:val="00B0475E"/>
    <w:rsid w:val="00B069CB"/>
    <w:rsid w:val="00B53C9B"/>
    <w:rsid w:val="00B6087F"/>
    <w:rsid w:val="00B67FDA"/>
    <w:rsid w:val="00B778B6"/>
    <w:rsid w:val="00B92C40"/>
    <w:rsid w:val="00BD6131"/>
    <w:rsid w:val="00BF3456"/>
    <w:rsid w:val="00C23644"/>
    <w:rsid w:val="00C6116A"/>
    <w:rsid w:val="00CA6271"/>
    <w:rsid w:val="00CC58A1"/>
    <w:rsid w:val="00D10700"/>
    <w:rsid w:val="00D14F7C"/>
    <w:rsid w:val="00D331A0"/>
    <w:rsid w:val="00D47DB6"/>
    <w:rsid w:val="00D6082D"/>
    <w:rsid w:val="00D70C20"/>
    <w:rsid w:val="00D70C88"/>
    <w:rsid w:val="00D95190"/>
    <w:rsid w:val="00DA453F"/>
    <w:rsid w:val="00DB01F7"/>
    <w:rsid w:val="00DD661E"/>
    <w:rsid w:val="00E105AD"/>
    <w:rsid w:val="00E16B3B"/>
    <w:rsid w:val="00E32325"/>
    <w:rsid w:val="00E41906"/>
    <w:rsid w:val="00E6088B"/>
    <w:rsid w:val="00E674FA"/>
    <w:rsid w:val="00EB095E"/>
    <w:rsid w:val="00EC3907"/>
    <w:rsid w:val="00ED284F"/>
    <w:rsid w:val="00F86304"/>
    <w:rsid w:val="00FB4851"/>
    <w:rsid w:val="00FE2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8F51B"/>
  <w15:docId w15:val="{02038241-69C5-4B05-AAA9-A2A0C40D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5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0B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1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7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5E6"/>
  </w:style>
  <w:style w:type="paragraph" w:styleId="Footer">
    <w:name w:val="footer"/>
    <w:basedOn w:val="Normal"/>
    <w:link w:val="FooterChar"/>
    <w:uiPriority w:val="99"/>
    <w:unhideWhenUsed/>
    <w:rsid w:val="00317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5E6"/>
  </w:style>
  <w:style w:type="character" w:customStyle="1" w:styleId="Heading1Char">
    <w:name w:val="Heading 1 Char"/>
    <w:basedOn w:val="DefaultParagraphFont"/>
    <w:link w:val="Heading1"/>
    <w:uiPriority w:val="9"/>
    <w:rsid w:val="003175E6"/>
    <w:rPr>
      <w:rFonts w:asciiTheme="majorHAnsi" w:eastAsiaTheme="majorEastAsia" w:hAnsiTheme="majorHAnsi" w:cstheme="majorBidi"/>
      <w:color w:val="2E74B5" w:themeColor="accent1" w:themeShade="BF"/>
      <w:sz w:val="32"/>
      <w:szCs w:val="32"/>
    </w:rPr>
  </w:style>
  <w:style w:type="paragraph" w:styleId="ListParagraph">
    <w:name w:val="List Paragraph"/>
    <w:aliases w:val="Bullet point"/>
    <w:basedOn w:val="Normal"/>
    <w:link w:val="ListParagraphChar"/>
    <w:uiPriority w:val="34"/>
    <w:qFormat/>
    <w:rsid w:val="003175E6"/>
    <w:pPr>
      <w:spacing w:after="0" w:line="240" w:lineRule="auto"/>
      <w:ind w:left="720"/>
      <w:contextualSpacing/>
    </w:pPr>
    <w:rPr>
      <w:rFonts w:eastAsiaTheme="minorEastAsia"/>
      <w:sz w:val="24"/>
      <w:szCs w:val="24"/>
      <w:lang w:val="en-US"/>
    </w:rPr>
  </w:style>
  <w:style w:type="character" w:customStyle="1" w:styleId="Heading2Char">
    <w:name w:val="Heading 2 Char"/>
    <w:basedOn w:val="DefaultParagraphFont"/>
    <w:link w:val="Heading2"/>
    <w:uiPriority w:val="9"/>
    <w:rsid w:val="00190B9A"/>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6C7DA5"/>
    <w:pPr>
      <w:spacing w:after="0" w:line="240" w:lineRule="auto"/>
    </w:pPr>
  </w:style>
  <w:style w:type="paragraph" w:styleId="BalloonText">
    <w:name w:val="Balloon Text"/>
    <w:basedOn w:val="Normal"/>
    <w:link w:val="BalloonTextChar"/>
    <w:uiPriority w:val="99"/>
    <w:semiHidden/>
    <w:unhideWhenUsed/>
    <w:rsid w:val="00B77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8B6"/>
    <w:rPr>
      <w:rFonts w:ascii="Segoe UI" w:hAnsi="Segoe UI" w:cs="Segoe UI"/>
      <w:sz w:val="18"/>
      <w:szCs w:val="18"/>
    </w:rPr>
  </w:style>
  <w:style w:type="character" w:customStyle="1" w:styleId="ListParagraphChar">
    <w:name w:val="List Paragraph Char"/>
    <w:aliases w:val="Bullet point Char"/>
    <w:basedOn w:val="DefaultParagraphFont"/>
    <w:link w:val="ListParagraph"/>
    <w:uiPriority w:val="34"/>
    <w:locked/>
    <w:rsid w:val="00E105AD"/>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73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C417-62F1-4D15-A364-30AAB754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Mind Australia</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Jenkins</dc:creator>
  <cp:keywords/>
  <dc:description/>
  <cp:lastModifiedBy>Lisa Morell</cp:lastModifiedBy>
  <cp:revision>2</cp:revision>
  <cp:lastPrinted>2019-12-27T02:17:00Z</cp:lastPrinted>
  <dcterms:created xsi:type="dcterms:W3CDTF">2026-07-06T22:52:00Z</dcterms:created>
  <dcterms:modified xsi:type="dcterms:W3CDTF">2026-07-06T22:52:00Z</dcterms:modified>
</cp:coreProperties>
</file>