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D997" w14:textId="77777777" w:rsidR="00D331A0" w:rsidRDefault="00D331A0"/>
    <w:tbl>
      <w:tblPr>
        <w:tblStyle w:val="TableGrid"/>
        <w:tblW w:w="90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5"/>
        <w:gridCol w:w="6807"/>
      </w:tblGrid>
      <w:tr w:rsidR="00D331A0" w:rsidRPr="007B7A32" w14:paraId="79B39E40" w14:textId="77777777" w:rsidTr="00530FB4">
        <w:trPr>
          <w:trHeight w:val="481"/>
        </w:trPr>
        <w:tc>
          <w:tcPr>
            <w:tcW w:w="9072" w:type="dxa"/>
            <w:gridSpan w:val="2"/>
          </w:tcPr>
          <w:p w14:paraId="56FE6D4A" w14:textId="1FC2618C" w:rsidR="00D331A0" w:rsidRPr="007F4A3A" w:rsidRDefault="00420F97" w:rsidP="00530FB4">
            <w:pPr>
              <w:spacing w:before="60" w:after="60"/>
              <w:jc w:val="center"/>
              <w:rPr>
                <w:rFonts w:asciiTheme="majorHAnsi" w:eastAsiaTheme="minorEastAsia" w:hAnsiTheme="majorHAnsi" w:cstheme="majorHAnsi"/>
                <w:color w:val="6B767C"/>
                <w:sz w:val="32"/>
                <w:szCs w:val="32"/>
                <w:lang w:val="en-US"/>
              </w:rPr>
            </w:pPr>
            <w:r w:rsidRPr="00420F97">
              <w:rPr>
                <w:rFonts w:asciiTheme="majorHAnsi" w:hAnsiTheme="majorHAnsi"/>
                <w:b/>
                <w:sz w:val="32"/>
                <w:szCs w:val="32"/>
              </w:rPr>
              <w:t xml:space="preserve">Senior Strategic </w:t>
            </w:r>
            <w:r>
              <w:rPr>
                <w:rFonts w:asciiTheme="majorHAnsi" w:hAnsiTheme="majorHAnsi"/>
                <w:b/>
                <w:sz w:val="32"/>
                <w:szCs w:val="32"/>
              </w:rPr>
              <w:t>Partnerships Manager</w:t>
            </w:r>
          </w:p>
        </w:tc>
      </w:tr>
      <w:tr w:rsidR="00D331A0" w:rsidRPr="007B7A32" w14:paraId="622E5787" w14:textId="77777777" w:rsidTr="00530FB4">
        <w:trPr>
          <w:trHeight w:val="682"/>
        </w:trPr>
        <w:tc>
          <w:tcPr>
            <w:tcW w:w="9072" w:type="dxa"/>
            <w:gridSpan w:val="2"/>
          </w:tcPr>
          <w:p w14:paraId="7ACAEC71" w14:textId="77777777" w:rsidR="00D331A0" w:rsidRPr="000E0DE2" w:rsidRDefault="00D331A0" w:rsidP="00530FB4">
            <w:pPr>
              <w:spacing w:line="276" w:lineRule="auto"/>
              <w:jc w:val="center"/>
              <w:rPr>
                <w:rFonts w:eastAsiaTheme="minorEastAsia" w:cstheme="majorHAnsi"/>
                <w:b/>
                <w:bCs/>
                <w:color w:val="6B767C"/>
                <w:lang w:val="en-US"/>
              </w:rPr>
            </w:pPr>
          </w:p>
          <w:p w14:paraId="55DD9A2B" w14:textId="11ECA210" w:rsidR="00513262" w:rsidRPr="00ED284F" w:rsidRDefault="00513262" w:rsidP="0033629C">
            <w:pPr>
              <w:jc w:val="center"/>
              <w:rPr>
                <w:rFonts w:eastAsiaTheme="minorEastAsia" w:cstheme="majorHAnsi"/>
                <w:i/>
                <w:iCs/>
                <w:color w:val="4D4D4F"/>
                <w:lang w:val="en-US"/>
              </w:rPr>
            </w:pPr>
            <w:r>
              <w:rPr>
                <w:rFonts w:eastAsiaTheme="minorEastAsia" w:cstheme="majorHAnsi"/>
                <w:b/>
                <w:iCs/>
                <w:color w:val="4D4D4F"/>
                <w:lang w:val="en-US"/>
              </w:rPr>
              <w:t>Our vision:</w:t>
            </w:r>
            <w:r>
              <w:rPr>
                <w:rFonts w:eastAsiaTheme="minorEastAsia" w:cstheme="majorHAnsi"/>
                <w:i/>
                <w:iCs/>
                <w:color w:val="4D4D4F"/>
                <w:lang w:val="en-US"/>
              </w:rPr>
              <w:t xml:space="preserve"> Humanity and community shape mental health, so people can live the life they choose.</w:t>
            </w:r>
          </w:p>
          <w:p w14:paraId="31704BD9" w14:textId="3904713D" w:rsidR="00513262" w:rsidRPr="00ED284F" w:rsidRDefault="00513262" w:rsidP="00513262">
            <w:pPr>
              <w:jc w:val="center"/>
              <w:rPr>
                <w:rFonts w:eastAsiaTheme="minorEastAsia" w:cstheme="majorHAnsi"/>
                <w:i/>
                <w:iCs/>
                <w:color w:val="4D4D4F"/>
                <w:lang w:val="en-US"/>
              </w:rPr>
            </w:pPr>
            <w:r>
              <w:rPr>
                <w:rFonts w:eastAsiaTheme="minorEastAsia" w:cstheme="majorHAnsi"/>
                <w:b/>
                <w:iCs/>
                <w:color w:val="4D4D4F"/>
                <w:lang w:val="en-US"/>
              </w:rPr>
              <w:t>Our purpose:</w:t>
            </w:r>
            <w:r>
              <w:rPr>
                <w:rFonts w:eastAsiaTheme="minorEastAsia" w:cstheme="majorHAnsi"/>
                <w:i/>
                <w:iCs/>
                <w:color w:val="4D4D4F"/>
                <w:lang w:val="en-US"/>
              </w:rPr>
              <w:t xml:space="preserve"> To walk alongside you, inspiring possibility.</w:t>
            </w:r>
          </w:p>
          <w:p w14:paraId="3C1A90B6" w14:textId="31524B17" w:rsidR="00D331A0" w:rsidRPr="000E0DE2" w:rsidRDefault="00513262" w:rsidP="00147F19">
            <w:pPr>
              <w:spacing w:after="160"/>
              <w:jc w:val="center"/>
              <w:rPr>
                <w:rFonts w:eastAsiaTheme="minorEastAsia" w:cstheme="majorHAnsi"/>
                <w:i/>
                <w:iCs/>
                <w:color w:val="6B767C"/>
                <w:lang w:val="en-US"/>
              </w:rPr>
            </w:pPr>
            <w:r>
              <w:rPr>
                <w:rFonts w:eastAsiaTheme="minorEastAsia" w:cstheme="majorHAnsi"/>
                <w:b/>
                <w:iCs/>
                <w:color w:val="4D4D4F"/>
                <w:lang w:val="en-US"/>
              </w:rPr>
              <w:t>Our values:</w:t>
            </w:r>
            <w:r>
              <w:rPr>
                <w:rFonts w:eastAsiaTheme="minorEastAsia" w:cstheme="majorHAnsi"/>
                <w:i/>
                <w:iCs/>
                <w:color w:val="4D4D4F"/>
                <w:lang w:val="en-US"/>
              </w:rPr>
              <w:t xml:space="preserve"> With people and community first, we lead with integrity, uphold respect for all, inspire possibility and co-create to shape change together.</w:t>
            </w:r>
          </w:p>
        </w:tc>
      </w:tr>
      <w:tr w:rsidR="00D331A0" w:rsidRPr="007B7A32" w14:paraId="18127CE2" w14:textId="77777777" w:rsidTr="00530FB4">
        <w:trPr>
          <w:trHeight w:val="373"/>
        </w:trPr>
        <w:tc>
          <w:tcPr>
            <w:tcW w:w="9072" w:type="dxa"/>
            <w:gridSpan w:val="2"/>
          </w:tcPr>
          <w:p w14:paraId="26E0C5D6" w14:textId="77777777" w:rsidR="00D331A0" w:rsidRPr="000E0DE2" w:rsidRDefault="009626FE" w:rsidP="00530FB4">
            <w:pPr>
              <w:spacing w:before="60" w:after="60"/>
              <w:jc w:val="center"/>
              <w:rPr>
                <w:rFonts w:eastAsiaTheme="minorEastAsia" w:cstheme="majorHAnsi"/>
                <w:b/>
                <w:bCs/>
                <w:color w:val="6B767C"/>
                <w:sz w:val="24"/>
                <w:szCs w:val="24"/>
                <w:lang w:val="en-US"/>
              </w:rPr>
            </w:pPr>
            <w:r>
              <w:rPr>
                <w:rFonts w:asciiTheme="majorHAnsi" w:hAnsiTheme="majorHAnsi"/>
                <w:b/>
                <w:color w:val="FFFFFF" w:themeColor="background1"/>
                <w:sz w:val="32"/>
                <w:szCs w:val="32"/>
              </w:rPr>
              <w:t>Position Information</w:t>
            </w:r>
          </w:p>
        </w:tc>
      </w:tr>
      <w:tr w:rsidR="00D331A0" w:rsidRPr="007B7A32" w14:paraId="77DE5351" w14:textId="77777777" w:rsidTr="00530FB4">
        <w:trPr>
          <w:trHeight w:val="234"/>
        </w:trPr>
        <w:tc>
          <w:tcPr>
            <w:tcW w:w="2265" w:type="dxa"/>
          </w:tcPr>
          <w:p w14:paraId="184DB149" w14:textId="77777777" w:rsidR="00D331A0" w:rsidRPr="00ED284F" w:rsidRDefault="00D331A0" w:rsidP="00530FB4">
            <w:pPr>
              <w:spacing w:before="60" w:after="60"/>
              <w:rPr>
                <w:b/>
                <w:bCs/>
                <w:color w:val="4D4D4F"/>
              </w:rPr>
            </w:pPr>
            <w:r>
              <w:rPr>
                <w:b/>
                <w:bCs/>
                <w:color w:val="4D4D4F"/>
              </w:rPr>
              <w:t>Purpose</w:t>
            </w:r>
          </w:p>
        </w:tc>
        <w:tc>
          <w:tcPr>
            <w:tcW w:w="6807" w:type="dxa"/>
          </w:tcPr>
          <w:p w14:paraId="7797066C" w14:textId="77777777" w:rsidR="00D331A0" w:rsidRPr="00ED284F" w:rsidRDefault="008344EE" w:rsidP="00530FB4">
            <w:pPr>
              <w:spacing w:after="60"/>
              <w:rPr>
                <w:rFonts w:eastAsiaTheme="minorEastAsia" w:cstheme="majorHAnsi"/>
                <w:color w:val="4D4D4F"/>
                <w:lang w:val="en-US"/>
              </w:rPr>
            </w:pPr>
            <w:r>
              <w:rPr>
                <w:rFonts w:eastAsiaTheme="minorEastAsia" w:cstheme="majorHAnsi"/>
                <w:color w:val="4D4D4F"/>
                <w:lang w:val="en-US"/>
              </w:rPr>
              <w:t>Provide senior external leadership for Mind and One Door Mental Health in New South Wales, establishing and stewarding a targeted portfolio of strategic partnerships and sector relationships. Operating in a focused, high-impact capacity, the role prioritises quality of influence over volume of activity — maintaining key government and sector relationships, opening growth pathways, and ensuring Mind and One Door are positioned as providers of choice. This is a temporary, fixed-term role deliberately scoped to stabilise senior relationships and build clear handover pathways to operational leadership. It does not duplicate the Government Relations function; where Government Relations leads on policy advocacy and strategy, this role focuses on relationship stewardship, sector presence, and partnership development in NSW.</w:t>
            </w:r>
          </w:p>
        </w:tc>
      </w:tr>
      <w:tr w:rsidR="00D331A0" w:rsidRPr="007B7A32" w14:paraId="6C992348" w14:textId="77777777" w:rsidTr="006B0298">
        <w:tc>
          <w:tcPr>
            <w:tcW w:w="2265" w:type="dxa"/>
          </w:tcPr>
          <w:p w14:paraId="272F54D2" w14:textId="77777777" w:rsidR="00D331A0" w:rsidRPr="00ED284F" w:rsidRDefault="00D331A0" w:rsidP="00530FB4">
            <w:pPr>
              <w:spacing w:before="60" w:after="60"/>
              <w:rPr>
                <w:b/>
                <w:bCs/>
                <w:color w:val="4D4D4F"/>
              </w:rPr>
            </w:pPr>
            <w:r>
              <w:rPr>
                <w:b/>
                <w:bCs/>
                <w:color w:val="4D4D4F"/>
              </w:rPr>
              <w:t>Position reports to</w:t>
            </w:r>
          </w:p>
        </w:tc>
        <w:tc>
          <w:tcPr>
            <w:tcW w:w="6807" w:type="dxa"/>
            <w:vAlign w:val="center"/>
          </w:tcPr>
          <w:p w14:paraId="5DD5C2A5" w14:textId="77777777" w:rsidR="00D331A0" w:rsidRPr="00ED284F" w:rsidRDefault="006B0298" w:rsidP="006B0298">
            <w:pPr>
              <w:spacing w:after="60"/>
              <w:rPr>
                <w:rFonts w:eastAsiaTheme="minorEastAsia" w:cstheme="majorHAnsi"/>
                <w:color w:val="4D4D4F"/>
                <w:lang w:val="en-US"/>
              </w:rPr>
            </w:pPr>
            <w:r>
              <w:rPr>
                <w:rFonts w:eastAsiaTheme="minorEastAsia" w:cstheme="majorHAnsi"/>
                <w:color w:val="4D4D4F"/>
                <w:lang w:val="en-US"/>
              </w:rPr>
              <w:t>Provide senior external leadership for Mind and One Door Mental Health in New South Wales, establishing and stewarding a targeted portfolio of strategic partnerships and sector relationships. Operating in a focused, high-impact capacity, the role prioritises quality of influence over volume of activity — maintaining key government and sector relationships, opening growth pathways, and ensuring Mind and One Door are positioned as providers of choice. This is a temporary, fixed-term role deliberately scoped to stabilise senior relationships and build clear handover pathways to operational leadership. It does not duplicate the Government Relations function; where Government Relations leads on policy advocacy and strategy, this role focuses on relationship stewardship, sector presence, and partnership development in NSW.</w:t>
            </w:r>
          </w:p>
        </w:tc>
      </w:tr>
      <w:tr w:rsidR="00D331A0" w:rsidRPr="007B7A32" w14:paraId="76578A91" w14:textId="77777777" w:rsidTr="006B0298">
        <w:tc>
          <w:tcPr>
            <w:tcW w:w="2265" w:type="dxa"/>
          </w:tcPr>
          <w:p w14:paraId="49EB7E36" w14:textId="77777777" w:rsidR="00D331A0" w:rsidRPr="00ED284F" w:rsidRDefault="00D331A0" w:rsidP="00530FB4">
            <w:pPr>
              <w:spacing w:before="60" w:after="60"/>
              <w:rPr>
                <w:b/>
                <w:bCs/>
                <w:color w:val="4D4D4F"/>
              </w:rPr>
            </w:pPr>
            <w:r>
              <w:rPr>
                <w:b/>
                <w:bCs/>
                <w:color w:val="4D4D4F"/>
              </w:rPr>
              <w:t>Mind classification level</w:t>
            </w:r>
          </w:p>
        </w:tc>
        <w:tc>
          <w:tcPr>
            <w:tcW w:w="6807" w:type="dxa"/>
            <w:vAlign w:val="center"/>
          </w:tcPr>
          <w:p w14:paraId="6A55BD99" w14:textId="77777777" w:rsidR="00D331A0" w:rsidRPr="00ED284F" w:rsidRDefault="007B1A38" w:rsidP="006B0298">
            <w:pPr>
              <w:spacing w:after="60"/>
              <w:rPr>
                <w:rFonts w:eastAsiaTheme="minorEastAsia" w:cstheme="majorHAnsi"/>
                <w:color w:val="4D4D4F"/>
                <w:highlight w:val="green"/>
                <w:lang w:val="en-US"/>
              </w:rPr>
            </w:pPr>
            <w:r>
              <w:rPr>
                <w:rFonts w:eastAsiaTheme="minorEastAsia" w:cstheme="majorHAnsi"/>
                <w:color w:val="4D4D4F"/>
                <w:highlight w:val="green"/>
                <w:lang w:val="en-US"/>
              </w:rPr>
              <w:t>IEC Level 8 (0.6 FTE, Fixed-Term)</w:t>
            </w:r>
          </w:p>
        </w:tc>
      </w:tr>
      <w:tr w:rsidR="00D331A0" w:rsidRPr="007B7A32" w14:paraId="2DC70459" w14:textId="77777777" w:rsidTr="006B0298">
        <w:tc>
          <w:tcPr>
            <w:tcW w:w="2265" w:type="dxa"/>
          </w:tcPr>
          <w:p w14:paraId="176BE3C6" w14:textId="77777777" w:rsidR="00D331A0" w:rsidRPr="00ED284F" w:rsidRDefault="00D331A0" w:rsidP="00530FB4">
            <w:pPr>
              <w:spacing w:before="60" w:after="60"/>
              <w:rPr>
                <w:b/>
                <w:bCs/>
                <w:color w:val="4D4D4F"/>
              </w:rPr>
            </w:pPr>
            <w:r>
              <w:rPr>
                <w:b/>
                <w:bCs/>
                <w:color w:val="4D4D4F"/>
              </w:rPr>
              <w:t>Stream</w:t>
            </w:r>
          </w:p>
        </w:tc>
        <w:tc>
          <w:tcPr>
            <w:tcW w:w="6807" w:type="dxa"/>
            <w:vAlign w:val="center"/>
          </w:tcPr>
          <w:p w14:paraId="210DE997" w14:textId="77777777" w:rsidR="00D331A0" w:rsidRPr="00ED284F" w:rsidRDefault="006B0298" w:rsidP="006B0298">
            <w:pPr>
              <w:spacing w:after="60"/>
              <w:rPr>
                <w:rFonts w:eastAsiaTheme="minorEastAsia" w:cstheme="majorHAnsi"/>
                <w:color w:val="4D4D4F"/>
                <w:lang w:val="en-US"/>
              </w:rPr>
            </w:pPr>
            <w:r>
              <w:rPr>
                <w:rFonts w:eastAsiaTheme="minorEastAsia" w:cstheme="majorHAnsi"/>
                <w:color w:val="4D4D4F"/>
                <w:lang w:val="en-US"/>
              </w:rPr>
              <w:t xml:space="preserve">Provide senior external leadership for Mind and One Door Mental Health in New South Wales, establishing and stewarding a targeted portfolio of strategic partnerships and sector relationships. Operating in a focused, high-impact capacity, the role prioritises quality of influence over volume of activity — maintaining key government and sector relationships, </w:t>
            </w:r>
            <w:r>
              <w:rPr>
                <w:rFonts w:eastAsiaTheme="minorEastAsia" w:cstheme="majorHAnsi"/>
                <w:color w:val="4D4D4F"/>
                <w:lang w:val="en-US"/>
              </w:rPr>
              <w:lastRenderedPageBreak/>
              <w:t>opening growth pathways, and ensuring Mind and One Door are positioned as providers of choice. This is a temporary, fixed-term role deliberately scoped to stabilise senior relationships and build clear handover pathways to operational leadership. It does not duplicate the Government Relations function; where Government Relations leads on policy advocacy and strategy, this role focuses on relationship stewardship, sector presence, and partnership development in NSW.</w:t>
            </w:r>
          </w:p>
        </w:tc>
      </w:tr>
      <w:tr w:rsidR="00D331A0" w:rsidRPr="007B7A32" w14:paraId="2992BB56" w14:textId="77777777" w:rsidTr="00530FB4">
        <w:tc>
          <w:tcPr>
            <w:tcW w:w="2265" w:type="dxa"/>
          </w:tcPr>
          <w:p w14:paraId="46FE908A" w14:textId="77777777" w:rsidR="00D331A0" w:rsidRPr="00ED284F" w:rsidRDefault="00D331A0" w:rsidP="00530FB4">
            <w:pPr>
              <w:spacing w:before="60" w:after="60"/>
              <w:rPr>
                <w:b/>
                <w:bCs/>
                <w:color w:val="4D4D4F"/>
              </w:rPr>
            </w:pPr>
            <w:r>
              <w:rPr>
                <w:b/>
                <w:bCs/>
                <w:color w:val="4D4D4F"/>
              </w:rPr>
              <w:lastRenderedPageBreak/>
              <w:t>About the service</w:t>
            </w:r>
          </w:p>
        </w:tc>
        <w:tc>
          <w:tcPr>
            <w:tcW w:w="6807" w:type="dxa"/>
          </w:tcPr>
          <w:p w14:paraId="2EFBDF8A" w14:textId="77777777" w:rsidR="00D331A0" w:rsidRPr="00ED284F" w:rsidRDefault="00A6216A" w:rsidP="00530FB4">
            <w:pPr>
              <w:spacing w:after="60"/>
              <w:rPr>
                <w:rFonts w:eastAsiaTheme="minorEastAsia" w:cstheme="majorHAnsi"/>
                <w:color w:val="4D4D4F"/>
                <w:lang w:val="en-US"/>
              </w:rPr>
            </w:pPr>
            <w:r>
              <w:rPr>
                <w:rFonts w:eastAsiaTheme="minorEastAsia" w:cstheme="majorHAnsi"/>
                <w:color w:val="4D4D4F"/>
                <w:lang w:val="en-US"/>
              </w:rPr>
              <w:t>Mind Australia operates in New South Wales under the well-established brand One Door Mental Health, which has a strong reputation across government, health, and community sectors. Mind delivers a broad range of community-managed mental health, psychosocial support, and NDIS services across NSW. This role sits within the NSW Operations stream and works in close alignment with the General Manager NSW, the Government Relations team, and national leadership to ensure senior sector representation and targeted partnership development.</w:t>
            </w:r>
          </w:p>
          <w:p w14:paraId="0FBB9012" w14:textId="77777777" w:rsidR="00A6216A" w:rsidRPr="00ED284F" w:rsidRDefault="00A6216A" w:rsidP="00530FB4">
            <w:pPr>
              <w:spacing w:after="60"/>
              <w:rPr>
                <w:rFonts w:eastAsiaTheme="minorEastAsia" w:cstheme="majorHAnsi"/>
                <w:color w:val="4D4D4F"/>
                <w:highlight w:val="green"/>
                <w:lang w:val="en-US"/>
              </w:rPr>
            </w:pPr>
          </w:p>
        </w:tc>
      </w:tr>
      <w:tr w:rsidR="00D331A0" w:rsidRPr="007B7A32" w14:paraId="63B42813" w14:textId="77777777" w:rsidTr="00181DAB">
        <w:tc>
          <w:tcPr>
            <w:tcW w:w="2265" w:type="dxa"/>
          </w:tcPr>
          <w:p w14:paraId="7D299FF0" w14:textId="77777777" w:rsidR="00D331A0" w:rsidRPr="00ED284F" w:rsidRDefault="00D331A0" w:rsidP="00530FB4">
            <w:pPr>
              <w:spacing w:before="60" w:after="60"/>
              <w:rPr>
                <w:b/>
                <w:bCs/>
                <w:color w:val="4D4D4F"/>
                <w:highlight w:val="green"/>
              </w:rPr>
            </w:pPr>
            <w:r>
              <w:rPr>
                <w:b/>
                <w:bCs/>
                <w:color w:val="4D4D4F"/>
              </w:rPr>
              <w:t>Position description effective date</w:t>
            </w:r>
          </w:p>
        </w:tc>
        <w:tc>
          <w:tcPr>
            <w:tcW w:w="6807" w:type="dxa"/>
            <w:vAlign w:val="center"/>
          </w:tcPr>
          <w:p w14:paraId="40E9C840" w14:textId="77777777" w:rsidR="00D331A0" w:rsidRPr="00ED284F" w:rsidRDefault="009619F4" w:rsidP="00CC58A1">
            <w:pPr>
              <w:spacing w:after="60"/>
              <w:rPr>
                <w:rFonts w:eastAsiaTheme="minorEastAsia" w:cstheme="majorHAnsi"/>
                <w:color w:val="4D4D4F"/>
                <w:highlight w:val="green"/>
                <w:lang w:val="en-US"/>
              </w:rPr>
            </w:pPr>
            <w:r>
              <w:rPr>
                <w:rFonts w:eastAsiaTheme="minorEastAsia" w:cstheme="majorHAnsi"/>
                <w:color w:val="4D4D4F"/>
                <w:highlight w:val="green"/>
                <w:lang w:val="en-US"/>
              </w:rPr>
              <w:t>June 2026</w:t>
            </w:r>
          </w:p>
        </w:tc>
      </w:tr>
      <w:tr w:rsidR="00D331A0" w:rsidRPr="007B7A32" w14:paraId="66EDF510" w14:textId="77777777" w:rsidTr="00530FB4">
        <w:tc>
          <w:tcPr>
            <w:tcW w:w="9072" w:type="dxa"/>
            <w:gridSpan w:val="2"/>
          </w:tcPr>
          <w:p w14:paraId="11723F2A" w14:textId="77777777" w:rsidR="00D331A0" w:rsidRPr="000E0DE2" w:rsidRDefault="00D331A0" w:rsidP="00530FB4">
            <w:pPr>
              <w:spacing w:before="60" w:after="60"/>
              <w:jc w:val="center"/>
              <w:rPr>
                <w:rFonts w:eastAsiaTheme="minorEastAsia" w:cstheme="majorHAnsi"/>
                <w:b/>
                <w:color w:val="6B767C"/>
                <w:sz w:val="24"/>
                <w:szCs w:val="24"/>
                <w:lang w:val="en-US"/>
              </w:rPr>
            </w:pPr>
            <w:r>
              <w:rPr>
                <w:b/>
                <w:bCs/>
                <w:color w:val="FFFFFF" w:themeColor="background1"/>
                <w:sz w:val="24"/>
                <w:szCs w:val="24"/>
              </w:rPr>
              <w:t>Responsibilities</w:t>
            </w:r>
          </w:p>
        </w:tc>
      </w:tr>
      <w:tr w:rsidR="00D331A0" w:rsidRPr="007B7A32" w14:paraId="41F54A62" w14:textId="77777777" w:rsidTr="00530FB4">
        <w:tc>
          <w:tcPr>
            <w:tcW w:w="2265" w:type="dxa"/>
          </w:tcPr>
          <w:p w14:paraId="51DF599A" w14:textId="77777777" w:rsidR="00D331A0" w:rsidRPr="00ED284F" w:rsidRDefault="00D331A0" w:rsidP="00530FB4">
            <w:pPr>
              <w:spacing w:before="60" w:after="60"/>
              <w:rPr>
                <w:b/>
                <w:bCs/>
                <w:color w:val="4D4D4F"/>
                <w:highlight w:val="green"/>
              </w:rPr>
            </w:pPr>
            <w:r>
              <w:rPr>
                <w:b/>
                <w:bCs/>
                <w:color w:val="4D4D4F"/>
              </w:rPr>
              <w:t>Executive Representation &amp; Sector Presence</w:t>
            </w:r>
          </w:p>
        </w:tc>
        <w:tc>
          <w:tcPr>
            <w:tcW w:w="6807" w:type="dxa"/>
          </w:tcPr>
          <w:p w14:paraId="0A100001" w14:textId="77777777" w:rsidR="005B3E8F" w:rsidRDefault="005B3E8F" w:rsidP="0A20000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Represent Mind and One Door Mental Health at key, high-value stakeholder forums and engagements across NSW.</w:t>
            </w:r>
          </w:p>
          <w:p w14:paraId="0A100002" w14:textId="77777777" w:rsidR="005B3E8F" w:rsidRDefault="005B3E8F" w:rsidP="0A20000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Act as a senior delegate of the Executive Director Operations for external sector engagement in NSW.</w:t>
            </w:r>
          </w:p>
          <w:p w14:paraId="0A100003" w14:textId="77777777" w:rsidR="005B3E8F" w:rsidRDefault="005B3E8F" w:rsidP="0A20000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Maintain visible senior presence across a prioritised set of relationships — quality and influence over volume.</w:t>
            </w:r>
          </w:p>
          <w:p w14:paraId="0A100004" w14:textId="77777777" w:rsidR="005B3E8F" w:rsidRDefault="005B3E8F" w:rsidP="0A20000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Work in clear alignment with the General Manager NSW to ensure partnership activity supports operational capacity and priorities.</w:t>
            </w:r>
          </w:p>
        </w:tc>
      </w:tr>
      <w:tr w:rsidR="00BF3456" w:rsidRPr="007B7A32" w14:paraId="24B3E286" w14:textId="77777777" w:rsidTr="00BF3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Pr>
          <w:p w14:paraId="7A337960" w14:textId="77777777" w:rsidR="00BF3456" w:rsidRPr="00ED284F" w:rsidRDefault="00BF3456" w:rsidP="003D09D1">
            <w:pPr>
              <w:spacing w:before="60" w:after="60"/>
              <w:rPr>
                <w:b/>
                <w:bCs/>
                <w:color w:val="4D4D4F"/>
                <w:highlight w:val="green"/>
              </w:rPr>
            </w:pPr>
            <w:r>
              <w:rPr>
                <w:b/>
                <w:bCs/>
                <w:color w:val="4D4D4F"/>
              </w:rPr>
              <w:t>Strategic Partnerships &amp; Growth Enablement</w:t>
            </w:r>
          </w:p>
        </w:tc>
        <w:tc>
          <w:tcPr>
            <w:tcW w:w="6807" w:type="dxa"/>
          </w:tcPr>
          <w:p w14:paraId="0B100001" w14:textId="77777777" w:rsidR="005B3E8F" w:rsidRDefault="005B3E8F" w:rsidP="0A20000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Identify and maintain a prioritised portfolio of up to 10–15 strategic partnerships, including NSW Health / key Local Health Districts, Priority Primary Health Networks, and key NGO sector partners.</w:t>
            </w:r>
          </w:p>
          <w:p w14:paraId="0B100002" w14:textId="77777777" w:rsidR="005B3E8F" w:rsidRDefault="005B3E8F" w:rsidP="0A20000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Establish and strengthen high-value partnerships and referral pathways that support service growth and positioning.</w:t>
            </w:r>
          </w:p>
          <w:p w14:paraId="0B100003" w14:textId="77777777" w:rsidR="005B3E8F" w:rsidRDefault="005B3E8F" w:rsidP="0A20000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Translate priority relationships into tangible service opportunities and referral pathway outcomes; support early-stage opportunity identification (not full business development ownership).</w:t>
            </w:r>
          </w:p>
          <w:p w14:paraId="0B100004" w14:textId="77777777" w:rsidR="005B3E8F" w:rsidRDefault="005B3E8F" w:rsidP="0A20000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Maintain targeted intelligence on the NSW mental health landscape, funding environment, and sector reform, providing concise insights to the Executive Director Operations.</w:t>
            </w:r>
          </w:p>
          <w:p w14:paraId="0B100005" w14:textId="77777777" w:rsidR="005B3E8F" w:rsidRDefault="005B3E8F" w:rsidP="0A20000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 xml:space="preserve">Ensure alignment between Mind national strategy, Government Relations priorities, and One Door positioning — with clear </w:t>
            </w:r>
            <w:r>
              <w:rPr>
                <w:rFonts w:cstheme="majorHAnsi"/>
                <w:color w:val="4D4D4F"/>
                <w:sz w:val="22"/>
                <w:szCs w:val="22"/>
              </w:rPr>
              <w:lastRenderedPageBreak/>
              <w:t>delineation from the Government Relations policy and advocacy function.</w:t>
            </w:r>
          </w:p>
        </w:tc>
      </w:tr>
      <w:tr w:rsidR="00BF3456" w:rsidRPr="007B7A32" w14:paraId="19338060" w14:textId="77777777" w:rsidTr="00BF3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Pr>
          <w:p w14:paraId="2405F796" w14:textId="77777777" w:rsidR="00BF3456" w:rsidRPr="00ED284F" w:rsidRDefault="00BF3456" w:rsidP="003D09D1">
            <w:pPr>
              <w:spacing w:before="60" w:after="60"/>
              <w:rPr>
                <w:b/>
                <w:bCs/>
                <w:color w:val="4D4D4F"/>
                <w:highlight w:val="green"/>
              </w:rPr>
            </w:pPr>
            <w:r>
              <w:rPr>
                <w:b/>
                <w:bCs/>
                <w:color w:val="4D4D4F"/>
              </w:rPr>
              <w:lastRenderedPageBreak/>
              <w:t>Internal Alignment &amp; Handover Planning</w:t>
            </w:r>
          </w:p>
        </w:tc>
        <w:tc>
          <w:tcPr>
            <w:tcW w:w="6807" w:type="dxa"/>
          </w:tcPr>
          <w:p w14:paraId="0C100001" w14:textId="77777777" w:rsidR="005B3E8F" w:rsidRDefault="005B3E8F" w:rsidP="0A20000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Collaborate closely with the General Manager NSW to align partnership activities with service delivery capacity and operational priorities, ensuring a “one Mind” approach to external engagement.</w:t>
            </w:r>
          </w:p>
          <w:p w14:paraId="0C100002" w14:textId="77777777" w:rsidR="005B3E8F" w:rsidRDefault="005B3E8F" w:rsidP="0A20000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Maintain clear stakeholder mapping, engagement plans, and relationship records to support continuity and future transition to operational leadership.</w:t>
            </w:r>
          </w:p>
          <w:p w14:paraId="0C100003" w14:textId="77777777" w:rsidR="005B3E8F" w:rsidRDefault="005B3E8F" w:rsidP="0A20000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Actively plan for handover of key relationships and pipelines to the GM NSW or appropriate operational functions prior to conclusion of the fixed term.</w:t>
            </w:r>
          </w:p>
          <w:p w14:paraId="0C100004" w14:textId="77777777" w:rsidR="005B3E8F" w:rsidRDefault="005B3E8F" w:rsidP="0A20000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Contribute to delivery of a prioritised NSW Partnership Strategy, ensuring activities are aligned with Mind’s national strategy and the Government Relations Strategy.</w:t>
            </w:r>
          </w:p>
        </w:tc>
      </w:tr>
      <w:tr w:rsidR="00D331A0" w:rsidRPr="007B7A32" w14:paraId="3C4079C3" w14:textId="77777777" w:rsidTr="00530FB4">
        <w:tc>
          <w:tcPr>
            <w:tcW w:w="2265" w:type="dxa"/>
          </w:tcPr>
          <w:p w14:paraId="67D0A4E2" w14:textId="77777777" w:rsidR="00D331A0" w:rsidRPr="00ED284F" w:rsidRDefault="00D331A0" w:rsidP="00530FB4">
            <w:pPr>
              <w:spacing w:before="60" w:after="60"/>
              <w:rPr>
                <w:b/>
                <w:bCs/>
                <w:color w:val="4D4D4F"/>
              </w:rPr>
            </w:pPr>
            <w:r>
              <w:rPr>
                <w:b/>
                <w:bCs/>
                <w:color w:val="4D4D4F"/>
              </w:rPr>
              <w:t>Professional development</w:t>
            </w:r>
          </w:p>
        </w:tc>
        <w:tc>
          <w:tcPr>
            <w:tcW w:w="6807" w:type="dxa"/>
          </w:tcPr>
          <w:p w14:paraId="4A527347" w14:textId="77777777" w:rsidR="00D331A0" w:rsidRPr="00ED284F" w:rsidRDefault="00D331A0" w:rsidP="00D331A0">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Undertake relevant training and professional development, including regular supervision, appropriate to the primary work of the service and Mind.</w:t>
            </w:r>
          </w:p>
          <w:p w14:paraId="581D4A53" w14:textId="77777777" w:rsidR="00D331A0" w:rsidRPr="00ED284F" w:rsidRDefault="00D331A0" w:rsidP="00D331A0">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Participate in reflective practice.</w:t>
            </w:r>
          </w:p>
          <w:p w14:paraId="76B942B1" w14:textId="77777777" w:rsidR="00A6216A" w:rsidRPr="00ED284F" w:rsidRDefault="00A6216A" w:rsidP="00D331A0">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Complete other duties as directed.</w:t>
            </w:r>
          </w:p>
        </w:tc>
      </w:tr>
      <w:tr w:rsidR="00D331A0" w:rsidRPr="007B7A32" w14:paraId="5C11B802" w14:textId="77777777" w:rsidTr="00530FB4">
        <w:tc>
          <w:tcPr>
            <w:tcW w:w="2265" w:type="dxa"/>
          </w:tcPr>
          <w:p w14:paraId="108BF241" w14:textId="77777777" w:rsidR="00D331A0" w:rsidRPr="00ED284F" w:rsidRDefault="00D331A0" w:rsidP="00530FB4">
            <w:pPr>
              <w:spacing w:before="60" w:after="60"/>
              <w:rPr>
                <w:b/>
                <w:bCs/>
                <w:color w:val="4D4D4F"/>
              </w:rPr>
            </w:pPr>
            <w:r>
              <w:rPr>
                <w:b/>
                <w:bCs/>
                <w:color w:val="4D4D4F"/>
              </w:rPr>
              <w:t>Accountability</w:t>
            </w:r>
          </w:p>
        </w:tc>
        <w:tc>
          <w:tcPr>
            <w:tcW w:w="6807" w:type="dxa"/>
          </w:tcPr>
          <w:p w14:paraId="63D954DE" w14:textId="77777777" w:rsidR="00D331A0" w:rsidRPr="00ED284F" w:rsidRDefault="00D331A0" w:rsidP="00D331A0">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Conduct yourself in accordance with the Mind Code of Conduct and Mind policies and procedures which may change from time to time.</w:t>
            </w:r>
          </w:p>
          <w:p w14:paraId="2399BDC3" w14:textId="77777777" w:rsidR="00D331A0" w:rsidRPr="00ED284F" w:rsidRDefault="00D331A0" w:rsidP="00D331A0">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Proactively support Mind’s vision of supporting people facing mental health challenges to live well and be socially included, in accordance with the Mind values.</w:t>
            </w:r>
          </w:p>
        </w:tc>
      </w:tr>
      <w:tr w:rsidR="00D331A0" w:rsidRPr="007B7A32" w14:paraId="454850AC" w14:textId="77777777" w:rsidTr="00530FB4">
        <w:tc>
          <w:tcPr>
            <w:tcW w:w="2265" w:type="dxa"/>
          </w:tcPr>
          <w:p w14:paraId="2ECCFA39" w14:textId="77777777" w:rsidR="00D331A0" w:rsidRPr="00ED284F" w:rsidRDefault="00D331A0" w:rsidP="00530FB4">
            <w:pPr>
              <w:spacing w:before="60" w:after="60"/>
              <w:rPr>
                <w:b/>
                <w:bCs/>
                <w:color w:val="4D4D4F"/>
              </w:rPr>
            </w:pPr>
            <w:r>
              <w:rPr>
                <w:b/>
                <w:bCs/>
                <w:color w:val="4D4D4F"/>
              </w:rPr>
              <w:t>Workplace health, safety and wellbeing</w:t>
            </w:r>
          </w:p>
        </w:tc>
        <w:tc>
          <w:tcPr>
            <w:tcW w:w="6807" w:type="dxa"/>
          </w:tcPr>
          <w:p w14:paraId="08A819DA" w14:textId="77777777" w:rsidR="00D331A0" w:rsidRPr="00ED284F" w:rsidRDefault="00D331A0" w:rsidP="00D331A0">
            <w:pPr>
              <w:pStyle w:val="ListParagraph"/>
              <w:numPr>
                <w:ilvl w:val="0"/>
                <w:numId w:val="19"/>
              </w:numPr>
              <w:spacing w:after="60"/>
              <w:ind w:left="458" w:hanging="283"/>
              <w:jc w:val="both"/>
              <w:rPr>
                <w:rFonts w:cstheme="majorHAnsi"/>
                <w:color w:val="4D4D4F"/>
                <w:sz w:val="22"/>
                <w:szCs w:val="22"/>
              </w:rPr>
            </w:pPr>
            <w:r>
              <w:rPr>
                <w:rFonts w:cstheme="majorHAnsi"/>
                <w:color w:val="4D4D4F"/>
                <w:sz w:val="22"/>
                <w:szCs w:val="22"/>
              </w:rPr>
              <w:t>Contribute actively to the maintenance of a safe workplace.</w:t>
            </w:r>
          </w:p>
          <w:p w14:paraId="33F47C10" w14:textId="77777777" w:rsidR="00D331A0" w:rsidRPr="00ED284F" w:rsidRDefault="00D331A0" w:rsidP="00D331A0">
            <w:pPr>
              <w:pStyle w:val="ListParagraph"/>
              <w:numPr>
                <w:ilvl w:val="0"/>
                <w:numId w:val="19"/>
              </w:numPr>
              <w:spacing w:after="60"/>
              <w:ind w:left="458" w:hanging="283"/>
              <w:jc w:val="both"/>
              <w:rPr>
                <w:rFonts w:cstheme="majorHAnsi"/>
                <w:color w:val="4D4D4F"/>
                <w:sz w:val="22"/>
                <w:szCs w:val="22"/>
              </w:rPr>
            </w:pPr>
            <w:r>
              <w:rPr>
                <w:rFonts w:cstheme="majorHAnsi"/>
                <w:color w:val="4D4D4F"/>
                <w:sz w:val="22"/>
                <w:szCs w:val="22"/>
              </w:rPr>
              <w:t>Ensure all safety issues are reported and addressed as they arise.</w:t>
            </w:r>
          </w:p>
        </w:tc>
      </w:tr>
      <w:tr w:rsidR="00D331A0" w:rsidRPr="007B7A32" w14:paraId="374F2B73" w14:textId="77777777" w:rsidTr="00530FB4">
        <w:tc>
          <w:tcPr>
            <w:tcW w:w="2265" w:type="dxa"/>
          </w:tcPr>
          <w:p w14:paraId="024BAEAE" w14:textId="77777777" w:rsidR="00D331A0" w:rsidRPr="00ED284F" w:rsidDel="00B82735" w:rsidRDefault="00D331A0" w:rsidP="00530FB4">
            <w:pPr>
              <w:spacing w:before="60" w:after="60"/>
              <w:rPr>
                <w:b/>
                <w:bCs/>
                <w:color w:val="4D4D4F"/>
              </w:rPr>
            </w:pPr>
            <w:r>
              <w:rPr>
                <w:b/>
                <w:bCs/>
                <w:color w:val="4D4D4F"/>
              </w:rPr>
              <w:t>Lived experience</w:t>
            </w:r>
          </w:p>
        </w:tc>
        <w:tc>
          <w:tcPr>
            <w:tcW w:w="6807" w:type="dxa"/>
          </w:tcPr>
          <w:p w14:paraId="2C78F4AC" w14:textId="77777777" w:rsidR="00D331A0" w:rsidRPr="00ED284F" w:rsidRDefault="00D331A0" w:rsidP="00D331A0">
            <w:pPr>
              <w:pStyle w:val="ListParagraph"/>
              <w:numPr>
                <w:ilvl w:val="0"/>
                <w:numId w:val="19"/>
              </w:numPr>
              <w:spacing w:after="60"/>
              <w:ind w:left="458" w:hanging="283"/>
              <w:jc w:val="both"/>
              <w:rPr>
                <w:rFonts w:cstheme="majorHAnsi"/>
                <w:color w:val="4D4D4F"/>
                <w:sz w:val="22"/>
                <w:szCs w:val="22"/>
              </w:rPr>
            </w:pPr>
            <w:r>
              <w:rPr>
                <w:rFonts w:cstheme="majorHAnsi"/>
                <w:color w:val="4D4D4F"/>
                <w:sz w:val="22"/>
                <w:szCs w:val="22"/>
              </w:rPr>
              <w:t>Contribute to a workplace that values lived and living experience and the inclusion of consumers, carers and families in the work we do.</w:t>
            </w:r>
          </w:p>
        </w:tc>
      </w:tr>
      <w:tr w:rsidR="00D331A0" w:rsidRPr="007B7A32" w14:paraId="03FC6257" w14:textId="77777777" w:rsidTr="00530FB4">
        <w:tc>
          <w:tcPr>
            <w:tcW w:w="2265" w:type="dxa"/>
          </w:tcPr>
          <w:p w14:paraId="7342B7C3" w14:textId="77777777" w:rsidR="00D331A0" w:rsidRPr="00ED284F" w:rsidRDefault="007C7278" w:rsidP="00530FB4">
            <w:pPr>
              <w:spacing w:before="60" w:after="60"/>
              <w:rPr>
                <w:b/>
                <w:bCs/>
                <w:color w:val="4D4D4F"/>
              </w:rPr>
            </w:pPr>
            <w:r>
              <w:rPr>
                <w:b/>
                <w:bCs/>
                <w:color w:val="4D4D4F"/>
              </w:rPr>
              <w:t>Cultural safety</w:t>
            </w:r>
          </w:p>
        </w:tc>
        <w:tc>
          <w:tcPr>
            <w:tcW w:w="6807" w:type="dxa"/>
          </w:tcPr>
          <w:p w14:paraId="61909DA3" w14:textId="77777777" w:rsidR="00D331A0" w:rsidRPr="00ED284F" w:rsidRDefault="00D331A0" w:rsidP="00D331A0">
            <w:pPr>
              <w:pStyle w:val="ListParagraph"/>
              <w:numPr>
                <w:ilvl w:val="0"/>
                <w:numId w:val="19"/>
              </w:numPr>
              <w:spacing w:after="60"/>
              <w:ind w:left="458" w:hanging="283"/>
              <w:jc w:val="both"/>
              <w:rPr>
                <w:rFonts w:cstheme="majorHAnsi"/>
                <w:color w:val="4D4D4F"/>
                <w:sz w:val="22"/>
                <w:szCs w:val="22"/>
              </w:rPr>
            </w:pPr>
            <w:r>
              <w:rPr>
                <w:rFonts w:cstheme="majorHAnsi"/>
                <w:color w:val="4D4D4F"/>
                <w:sz w:val="22"/>
                <w:szCs w:val="22"/>
              </w:rPr>
              <w:t>Contribute to a culturally safe workforce and service environment for staff, consumers, carers and volunteers from all cultures, genders, sexualities, bodies, abilities, spiritualities, ages and backgrounds.</w:t>
            </w:r>
          </w:p>
        </w:tc>
      </w:tr>
    </w:tbl>
    <w:p w14:paraId="04555B35" w14:textId="77777777" w:rsidR="00AC2F4F" w:rsidRPr="00D331A0" w:rsidRDefault="00AC2F4F">
      <w:pPr>
        <w:sectPr w:rsidR="00AC2F4F" w:rsidRPr="00D331A0" w:rsidSect="00D6082D">
          <w:headerReference w:type="default" r:id="rId8"/>
          <w:footerReference w:type="default" r:id="rId9"/>
          <w:headerReference w:type="first" r:id="rId10"/>
          <w:footerReference w:type="first" r:id="rId11"/>
          <w:pgSz w:w="11906" w:h="16838" w:code="9"/>
          <w:pgMar w:top="1440" w:right="3402" w:bottom="2977" w:left="1440" w:header="737" w:footer="709" w:gutter="0"/>
          <w:cols w:space="708"/>
          <w:titlePg/>
          <w:docGrid w:linePitch="360"/>
        </w:sectPr>
      </w:pPr>
    </w:p>
    <w:tbl>
      <w:tblPr>
        <w:tblStyle w:val="TableGrid"/>
        <w:tblW w:w="9062" w:type="dxa"/>
        <w:tblLook w:val="04A0" w:firstRow="1" w:lastRow="0" w:firstColumn="1" w:lastColumn="0" w:noHBand="0" w:noVBand="1"/>
      </w:tblPr>
      <w:tblGrid>
        <w:gridCol w:w="2263"/>
        <w:gridCol w:w="6799"/>
      </w:tblGrid>
      <w:tr w:rsidR="001F207D" w:rsidRPr="001F207D" w14:paraId="50EC2D59" w14:textId="77777777" w:rsidTr="00530FB4">
        <w:trPr>
          <w:trHeight w:val="393"/>
        </w:trPr>
        <w:tc>
          <w:tcPr>
            <w:tcW w:w="9062" w:type="dxa"/>
            <w:gridSpan w:val="2"/>
            <w:vAlign w:val="center"/>
          </w:tcPr>
          <w:p w14:paraId="5998AB30" w14:textId="77777777" w:rsidR="00D331A0" w:rsidRPr="001F207D" w:rsidRDefault="00472F50" w:rsidP="00530FB4">
            <w:pPr>
              <w:jc w:val="center"/>
              <w:rPr>
                <w:color w:val="6B767C"/>
              </w:rPr>
            </w:pPr>
            <w:r>
              <w:rPr>
                <w:b/>
                <w:bCs/>
                <w:color w:val="FFFFFF" w:themeColor="background1"/>
                <w:sz w:val="24"/>
                <w:szCs w:val="24"/>
              </w:rPr>
              <w:lastRenderedPageBreak/>
              <w:t>Position Requirements</w:t>
            </w:r>
          </w:p>
        </w:tc>
      </w:tr>
      <w:tr w:rsidR="00881B82" w14:paraId="1F8F5F4D" w14:textId="77777777" w:rsidTr="00881B82">
        <w:trPr>
          <w:trHeight w:val="393"/>
        </w:trPr>
        <w:tc>
          <w:tcPr>
            <w:tcW w:w="2263" w:type="dxa"/>
          </w:tcPr>
          <w:p w14:paraId="0F94922A" w14:textId="77777777" w:rsidR="00881B82" w:rsidRPr="00ED284F" w:rsidRDefault="00881B82" w:rsidP="003D09D1">
            <w:pPr>
              <w:spacing w:before="60" w:after="60"/>
              <w:rPr>
                <w:b/>
                <w:bCs/>
                <w:color w:val="4D4D4F"/>
              </w:rPr>
            </w:pPr>
            <w:r>
              <w:rPr>
                <w:b/>
                <w:bCs/>
                <w:color w:val="4D4D4F"/>
              </w:rPr>
              <w:t>Qualifications required</w:t>
            </w:r>
          </w:p>
        </w:tc>
        <w:tc>
          <w:tcPr>
            <w:tcW w:w="6799" w:type="dxa"/>
          </w:tcPr>
          <w:p w14:paraId="51B81F23" w14:textId="77777777" w:rsidR="00881B82" w:rsidRPr="00ED284F" w:rsidRDefault="00881B82" w:rsidP="00E674FA">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Relevant tertiary qualification in health, community services, business, public policy, or a related field (desirable). Equivalent senior leadership experience in the mental health, health, or community sector will be considered.</w:t>
            </w:r>
          </w:p>
        </w:tc>
      </w:tr>
      <w:tr w:rsidR="00881B82" w14:paraId="48CD10CA" w14:textId="77777777" w:rsidTr="00881B82">
        <w:trPr>
          <w:trHeight w:val="393"/>
        </w:trPr>
        <w:tc>
          <w:tcPr>
            <w:tcW w:w="2263" w:type="dxa"/>
          </w:tcPr>
          <w:p w14:paraId="5A47E1CA" w14:textId="77777777" w:rsidR="00881B82" w:rsidRPr="00ED284F" w:rsidRDefault="00881B82" w:rsidP="008101FD">
            <w:pPr>
              <w:spacing w:before="60" w:after="60"/>
              <w:rPr>
                <w:b/>
                <w:bCs/>
                <w:color w:val="4D4D4F"/>
              </w:rPr>
            </w:pPr>
            <w:r>
              <w:rPr>
                <w:b/>
                <w:bCs/>
                <w:color w:val="4D4D4F"/>
              </w:rPr>
              <w:t>Knowledge, skills and experience required</w:t>
            </w:r>
          </w:p>
        </w:tc>
        <w:tc>
          <w:tcPr>
            <w:tcW w:w="6799" w:type="dxa"/>
          </w:tcPr>
          <w:p w14:paraId="12ADF3E7" w14:textId="77777777" w:rsidR="00881B82" w:rsidRPr="00ED284F" w:rsidRDefault="00881B82" w:rsidP="003D09D1">
            <w:pPr>
              <w:pStyle w:val="ListParagraph"/>
              <w:numPr>
                <w:ilvl w:val="0"/>
                <w:numId w:val="20"/>
              </w:numPr>
              <w:spacing w:after="60"/>
              <w:ind w:left="458" w:hanging="283"/>
              <w:jc w:val="both"/>
              <w:rPr>
                <w:rFonts w:cstheme="majorHAnsi"/>
                <w:color w:val="4D4D4F"/>
                <w:sz w:val="22"/>
                <w:szCs w:val="22"/>
                <w:highlight w:val="green"/>
              </w:rPr>
            </w:pPr>
            <w:r>
              <w:rPr>
                <w:rFonts w:cstheme="majorHAnsi"/>
                <w:color w:val="4D4D4F"/>
                <w:sz w:val="22"/>
                <w:szCs w:val="22"/>
              </w:rPr>
              <w:t>Significant senior experience in stakeholder engagement, strategic partnerships, or external leadership within the mental health, health, or community services sector in NSW.</w:t>
            </w:r>
          </w:p>
          <w:p w14:paraId="0D100002" w14:textId="77777777" w:rsidR="005B3E8F" w:rsidRDefault="005B3E8F" w:rsidP="0A20000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Established and credible networks across NSW government, Local Health Districts, Primary Health Networks, and/or community sector organisations.</w:t>
            </w:r>
          </w:p>
          <w:p w14:paraId="0D100003" w14:textId="77777777" w:rsidR="005B3E8F" w:rsidRDefault="005B3E8F" w:rsidP="0A20000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Strong executive presence and influencing capability; demonstrated ability to deliver outcomes through strategic relationships.</w:t>
            </w:r>
          </w:p>
          <w:p w14:paraId="0D100004" w14:textId="77777777" w:rsidR="005B3E8F" w:rsidRDefault="005B3E8F" w:rsidP="0A20000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Deep understanding of the NSW mental health system, funding and reform environment, and psychosocial support landscape.</w:t>
            </w:r>
          </w:p>
          <w:p w14:paraId="0D100005" w14:textId="77777777" w:rsidR="005B3E8F" w:rsidRDefault="005B3E8F" w:rsidP="0A20000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Ability to work collaboratively within a matrixed structure — including alongside Government Relations, GM NSW, and national leadership — with clear role discipline and operating boundaries.</w:t>
            </w:r>
          </w:p>
          <w:p w14:paraId="0D100006" w14:textId="77777777" w:rsidR="005B3E8F" w:rsidRDefault="005B3E8F" w:rsidP="0A20000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Experience working within or alongside One Door Mental Health or similar organisations is desirable. Understanding of NDIS and psychosocial reform is desirable. A lived experience of mental ill health and recovery is desirable.</w:t>
            </w:r>
          </w:p>
        </w:tc>
      </w:tr>
      <w:tr w:rsidR="00144C70" w:rsidRPr="00E6088B" w14:paraId="3264A28D" w14:textId="77777777" w:rsidTr="00881B82">
        <w:trPr>
          <w:trHeight w:val="393"/>
        </w:trPr>
        <w:tc>
          <w:tcPr>
            <w:tcW w:w="2263" w:type="dxa"/>
          </w:tcPr>
          <w:p w14:paraId="7E09E0D5" w14:textId="77777777" w:rsidR="00881B82" w:rsidRPr="00ED284F" w:rsidRDefault="00881B82" w:rsidP="003D09D1">
            <w:pPr>
              <w:spacing w:before="60" w:after="60"/>
              <w:rPr>
                <w:b/>
                <w:bCs/>
                <w:color w:val="4D4D4F"/>
              </w:rPr>
            </w:pPr>
            <w:r>
              <w:rPr>
                <w:b/>
                <w:bCs/>
                <w:color w:val="4D4D4F"/>
              </w:rPr>
              <w:t>Other</w:t>
            </w:r>
          </w:p>
        </w:tc>
        <w:tc>
          <w:tcPr>
            <w:tcW w:w="6799" w:type="dxa"/>
          </w:tcPr>
          <w:p w14:paraId="5C034835" w14:textId="77777777" w:rsidR="00EC3907" w:rsidRPr="00ED284F" w:rsidRDefault="00EC3907" w:rsidP="00092800">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Right to work in Australia.</w:t>
            </w:r>
          </w:p>
          <w:p w14:paraId="04F60AC6" w14:textId="77777777" w:rsidR="00EC3907" w:rsidRPr="00ED284F" w:rsidRDefault="00EC3907" w:rsidP="00092800">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 xml:space="preserve">Current valid Australian driver’s licence. </w:t>
            </w:r>
            <w:r>
              <w:rPr>
                <w:rFonts w:cstheme="majorHAnsi"/>
                <w:color w:val="4D4D4F"/>
                <w:sz w:val="22"/>
                <w:szCs w:val="22"/>
                <w:highlight w:val="green"/>
              </w:rPr>
              <w:t>(Remove if not applicable)</w:t>
            </w:r>
          </w:p>
          <w:p w14:paraId="6E080885" w14:textId="77777777" w:rsidR="00E674FA" w:rsidRPr="00ED284F" w:rsidRDefault="00EC3907" w:rsidP="00092800">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Current NDIS Worker Screening Check Clearance.</w:t>
            </w:r>
          </w:p>
          <w:p w14:paraId="453BD82B" w14:textId="77777777" w:rsidR="00881B82" w:rsidRPr="00ED284F" w:rsidRDefault="00E674FA" w:rsidP="00092800">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Working with Children Check or equivalent (Blue Card - QLD).</w:t>
            </w:r>
          </w:p>
          <w:p w14:paraId="23E0BB38" w14:textId="77777777" w:rsidR="00E6088B" w:rsidRPr="00ED284F" w:rsidRDefault="00E16B3B" w:rsidP="00E6088B">
            <w:pPr>
              <w:pStyle w:val="ListParagraph"/>
              <w:numPr>
                <w:ilvl w:val="0"/>
                <w:numId w:val="20"/>
              </w:numPr>
              <w:spacing w:after="60"/>
              <w:ind w:left="458" w:hanging="283"/>
              <w:jc w:val="both"/>
              <w:rPr>
                <w:rFonts w:cstheme="majorHAnsi"/>
                <w:color w:val="4D4D4F"/>
                <w:sz w:val="22"/>
                <w:szCs w:val="22"/>
              </w:rPr>
            </w:pPr>
            <w:r>
              <w:rPr>
                <w:color w:val="4D4D4F"/>
                <w:sz w:val="22"/>
                <w:szCs w:val="22"/>
                <w:lang w:val="en-AU"/>
              </w:rPr>
              <w:t xml:space="preserve">Able to obtain and provide evidence of vaccinations against COVID-19. </w:t>
            </w:r>
            <w:r>
              <w:rPr>
                <w:rFonts w:cstheme="majorHAnsi"/>
                <w:color w:val="4D4D4F"/>
                <w:sz w:val="22"/>
                <w:szCs w:val="22"/>
                <w:highlight w:val="green"/>
              </w:rPr>
              <w:t>(Remove if not applicable)</w:t>
            </w:r>
          </w:p>
          <w:p w14:paraId="7F7B25C3" w14:textId="77777777" w:rsidR="00040201" w:rsidRPr="00ED284F" w:rsidRDefault="00040201" w:rsidP="0004020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 xml:space="preserve">Requirement to bring with you current First Aid and CPR certifications and perform these duties as required as part of the role. </w:t>
            </w:r>
            <w:r>
              <w:rPr>
                <w:rFonts w:cstheme="majorHAnsi"/>
                <w:color w:val="4D4D4F"/>
                <w:sz w:val="22"/>
                <w:szCs w:val="22"/>
                <w:highlight w:val="green"/>
              </w:rPr>
              <w:t>(Required for residential services – remove if not applicable.)</w:t>
            </w:r>
          </w:p>
        </w:tc>
      </w:tr>
    </w:tbl>
    <w:p w14:paraId="59BCC6AD" w14:textId="77777777" w:rsidR="001B7E23" w:rsidRDefault="001B7E23" w:rsidP="00D331A0">
      <w:pPr>
        <w:rPr>
          <w:rFonts w:asciiTheme="majorHAnsi" w:hAnsiTheme="majorHAnsi"/>
          <w:color w:val="6B767C"/>
          <w:sz w:val="18"/>
          <w:szCs w:val="18"/>
        </w:rPr>
      </w:pPr>
    </w:p>
    <w:sectPr w:rsidR="001B7E23" w:rsidSect="00B778B6">
      <w:footerReference w:type="default" r:id="rId12"/>
      <w:pgSz w:w="11906" w:h="16838" w:code="9"/>
      <w:pgMar w:top="1440" w:right="3259" w:bottom="2977"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7F65" w14:textId="77777777" w:rsidR="005B3E8F" w:rsidRDefault="005B3E8F" w:rsidP="003175E6">
      <w:pPr>
        <w:spacing w:after="0" w:line="240" w:lineRule="auto"/>
      </w:pPr>
      <w:r>
        <w:separator/>
      </w:r>
    </w:p>
  </w:endnote>
  <w:endnote w:type="continuationSeparator" w:id="0">
    <w:p w14:paraId="6868CF0D" w14:textId="77777777" w:rsidR="005B3E8F" w:rsidRDefault="005B3E8F" w:rsidP="0031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7D2B" w14:textId="77777777" w:rsidR="003D09D1" w:rsidRPr="00604FCD" w:rsidRDefault="003D09D1" w:rsidP="00437A2A">
    <w:pPr>
      <w:tabs>
        <w:tab w:val="right" w:pos="7064"/>
      </w:tabs>
      <w:jc w:val="both"/>
    </w:pPr>
    <w:r>
      <w:rPr>
        <w:noProof/>
        <w:lang w:eastAsia="en-AU"/>
      </w:rPr>
      <w:drawing>
        <wp:anchor distT="0" distB="0" distL="114300" distR="114300" simplePos="0" relativeHeight="251671552" behindDoc="1" locked="0" layoutInCell="1" allowOverlap="1" wp14:anchorId="01B266FB" wp14:editId="34256D32">
          <wp:simplePos x="0" y="0"/>
          <wp:positionH relativeFrom="column">
            <wp:posOffset>-1301115</wp:posOffset>
          </wp:positionH>
          <wp:positionV relativeFrom="paragraph">
            <wp:posOffset>-1304925</wp:posOffset>
          </wp:positionV>
          <wp:extent cx="7950498" cy="2322830"/>
          <wp:effectExtent l="0" t="0" r="0" b="127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lloon image green.png"/>
                  <pic:cNvPicPr/>
                </pic:nvPicPr>
                <pic:blipFill>
                  <a:blip r:embed="rId1">
                    <a:extLst>
                      <a:ext uri="{28A0092B-C50C-407E-A947-70E740481C1C}">
                        <a14:useLocalDpi xmlns:a14="http://schemas.microsoft.com/office/drawing/2010/main" val="0"/>
                      </a:ext>
                    </a:extLst>
                  </a:blip>
                  <a:stretch>
                    <a:fillRect/>
                  </a:stretch>
                </pic:blipFill>
                <pic:spPr>
                  <a:xfrm>
                    <a:off x="0" y="0"/>
                    <a:ext cx="7950498" cy="232283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06B9" w14:textId="77777777" w:rsidR="003D09D1" w:rsidRPr="00D95190" w:rsidRDefault="003D09D1" w:rsidP="00D95190">
    <w:pPr>
      <w:jc w:val="both"/>
      <w:rPr>
        <w:rFonts w:asciiTheme="majorHAnsi" w:hAnsiTheme="majorHAnsi"/>
        <w:color w:val="6B767C"/>
        <w:sz w:val="18"/>
        <w:szCs w:val="18"/>
      </w:rPr>
    </w:pPr>
    <w:r>
      <w:rPr>
        <w:noProof/>
        <w:lang w:eastAsia="en-AU"/>
      </w:rPr>
      <w:drawing>
        <wp:anchor distT="0" distB="0" distL="114300" distR="114300" simplePos="0" relativeHeight="251667456" behindDoc="1" locked="0" layoutInCell="1" allowOverlap="1" wp14:anchorId="016E5C8A" wp14:editId="01E0C7B1">
          <wp:simplePos x="0" y="0"/>
          <wp:positionH relativeFrom="column">
            <wp:posOffset>-1129665</wp:posOffset>
          </wp:positionH>
          <wp:positionV relativeFrom="paragraph">
            <wp:posOffset>-751840</wp:posOffset>
          </wp:positionV>
          <wp:extent cx="7950498" cy="2322830"/>
          <wp:effectExtent l="0" t="0" r="0" b="127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lloon image green.png"/>
                  <pic:cNvPicPr/>
                </pic:nvPicPr>
                <pic:blipFill>
                  <a:blip r:embed="rId1">
                    <a:extLst>
                      <a:ext uri="{28A0092B-C50C-407E-A947-70E740481C1C}">
                        <a14:useLocalDpi xmlns:a14="http://schemas.microsoft.com/office/drawing/2010/main" val="0"/>
                      </a:ext>
                    </a:extLst>
                  </a:blip>
                  <a:stretch>
                    <a:fillRect/>
                  </a:stretch>
                </pic:blipFill>
                <pic:spPr>
                  <a:xfrm>
                    <a:off x="0" y="0"/>
                    <a:ext cx="7950498" cy="2322830"/>
                  </a:xfrm>
                  <a:prstGeom prst="rect">
                    <a:avLst/>
                  </a:prstGeom>
                </pic:spPr>
              </pic:pic>
            </a:graphicData>
          </a:graphic>
          <wp14:sizeRelH relativeFrom="margin">
            <wp14:pctWidth>0</wp14:pctWidth>
          </wp14:sizeRelH>
          <wp14:sizeRelV relativeFrom="margin">
            <wp14:pctHeight>0</wp14:pctHeight>
          </wp14:sizeRelV>
        </wp:anchor>
      </w:drawing>
    </w:r>
    <w:r w:rsidRPr="00513CC6">
      <w:rPr>
        <w:rFonts w:asciiTheme="majorHAnsi" w:hAnsiTheme="majorHAnsi"/>
        <w:color w:val="6B767C"/>
        <w:sz w:val="18"/>
        <w:szCs w:val="18"/>
      </w:rPr>
      <w:t>Mind values the experience and contribution of people from all cultures, genders, sexualities, bodies, abilities, ages, spiritualities and backgrounds.  We encourage applications from Aboriginal and Torres Strait Islander peoples, people with a lived experience of mental ill-health and recovery, people living with disability, those who identify as LGBTIQ and applicants from culturally and linguistically diverse backgrounds.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1660" w14:textId="77777777" w:rsidR="003D09D1" w:rsidRPr="008B1CD5" w:rsidRDefault="003D09D1" w:rsidP="00202FAD">
    <w:pPr>
      <w:widowControl w:val="0"/>
      <w:autoSpaceDE w:val="0"/>
      <w:autoSpaceDN w:val="0"/>
      <w:adjustRightInd w:val="0"/>
      <w:spacing w:after="120"/>
      <w:rPr>
        <w:rFonts w:asciiTheme="majorHAnsi" w:hAnsiTheme="majorHAnsi"/>
        <w:color w:val="6B767C"/>
        <w:sz w:val="18"/>
        <w:szCs w:val="18"/>
      </w:rPr>
    </w:pPr>
    <w:r>
      <w:rPr>
        <w:noProof/>
        <w:lang w:eastAsia="en-AU"/>
      </w:rPr>
      <w:drawing>
        <wp:anchor distT="0" distB="0" distL="114300" distR="114300" simplePos="0" relativeHeight="251663360" behindDoc="1" locked="0" layoutInCell="1" allowOverlap="1" wp14:anchorId="27599590" wp14:editId="32CB867F">
          <wp:simplePos x="0" y="0"/>
          <wp:positionH relativeFrom="column">
            <wp:posOffset>-1308100</wp:posOffset>
          </wp:positionH>
          <wp:positionV relativeFrom="paragraph">
            <wp:posOffset>-692001</wp:posOffset>
          </wp:positionV>
          <wp:extent cx="7950498" cy="2322830"/>
          <wp:effectExtent l="0" t="0" r="0" b="127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lloon image green.png"/>
                  <pic:cNvPicPr/>
                </pic:nvPicPr>
                <pic:blipFill>
                  <a:blip r:embed="rId1">
                    <a:extLst>
                      <a:ext uri="{28A0092B-C50C-407E-A947-70E740481C1C}">
                        <a14:useLocalDpi xmlns:a14="http://schemas.microsoft.com/office/drawing/2010/main" val="0"/>
                      </a:ext>
                    </a:extLst>
                  </a:blip>
                  <a:stretch>
                    <a:fillRect/>
                  </a:stretch>
                </pic:blipFill>
                <pic:spPr>
                  <a:xfrm>
                    <a:off x="0" y="0"/>
                    <a:ext cx="7950498" cy="2322830"/>
                  </a:xfrm>
                  <a:prstGeom prst="rect">
                    <a:avLst/>
                  </a:prstGeom>
                </pic:spPr>
              </pic:pic>
            </a:graphicData>
          </a:graphic>
          <wp14:sizeRelH relativeFrom="margin">
            <wp14:pctWidth>0</wp14:pctWidth>
          </wp14:sizeRelH>
          <wp14:sizeRelV relativeFrom="margin">
            <wp14:pctHeight>0</wp14:pctHeight>
          </wp14:sizeRelV>
        </wp:anchor>
      </w:drawing>
    </w:r>
    <w:r w:rsidRPr="008B1CD5">
      <w:rPr>
        <w:rFonts w:asciiTheme="majorHAnsi" w:hAnsiTheme="majorHAnsi"/>
        <w:color w:val="6B767C"/>
        <w:sz w:val="18"/>
        <w:szCs w:val="18"/>
      </w:rPr>
      <w:t>To learn more about Mind visit mindaustralia.org.au</w:t>
    </w:r>
  </w:p>
  <w:p w14:paraId="5335541D" w14:textId="77777777" w:rsidR="003D09D1" w:rsidRPr="008B1CD5" w:rsidRDefault="003D09D1" w:rsidP="00202FAD">
    <w:pPr>
      <w:widowControl w:val="0"/>
      <w:tabs>
        <w:tab w:val="left" w:pos="1976"/>
        <w:tab w:val="left" w:pos="2696"/>
      </w:tabs>
      <w:autoSpaceDE w:val="0"/>
      <w:autoSpaceDN w:val="0"/>
      <w:adjustRightInd w:val="0"/>
      <w:spacing w:after="0"/>
      <w:rPr>
        <w:rFonts w:asciiTheme="majorHAnsi" w:hAnsiTheme="majorHAnsi"/>
        <w:color w:val="6B767C"/>
        <w:sz w:val="18"/>
        <w:szCs w:val="18"/>
      </w:rPr>
    </w:pPr>
    <w:r>
      <w:rPr>
        <w:noProof/>
        <w:lang w:eastAsia="en-AU"/>
      </w:rPr>
      <w:drawing>
        <wp:anchor distT="0" distB="0" distL="114300" distR="114300" simplePos="0" relativeHeight="251665408" behindDoc="0" locked="0" layoutInCell="1" allowOverlap="1" wp14:anchorId="44F384C6" wp14:editId="4D397ED3">
          <wp:simplePos x="0" y="0"/>
          <wp:positionH relativeFrom="column">
            <wp:posOffset>0</wp:posOffset>
          </wp:positionH>
          <wp:positionV relativeFrom="paragraph">
            <wp:posOffset>0</wp:posOffset>
          </wp:positionV>
          <wp:extent cx="1014561" cy="175234"/>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4561" cy="175234"/>
                  </a:xfrm>
                  <a:prstGeom prst="rect">
                    <a:avLst/>
                  </a:prstGeom>
                  <a:noFill/>
                  <a:ln>
                    <a:noFill/>
                  </a:ln>
                </pic:spPr>
              </pic:pic>
            </a:graphicData>
          </a:graphic>
        </wp:anchor>
      </w:drawing>
    </w:r>
  </w:p>
  <w:p w14:paraId="3FE8C450" w14:textId="77777777" w:rsidR="003D09D1" w:rsidRPr="008B1CD5" w:rsidRDefault="003D09D1" w:rsidP="00202FAD">
    <w:pPr>
      <w:widowControl w:val="0"/>
      <w:autoSpaceDE w:val="0"/>
      <w:autoSpaceDN w:val="0"/>
      <w:adjustRightInd w:val="0"/>
      <w:spacing w:before="120" w:after="0"/>
      <w:rPr>
        <w:rFonts w:asciiTheme="majorHAnsi" w:hAnsiTheme="majorHAnsi"/>
        <w:color w:val="6B767C"/>
        <w:sz w:val="18"/>
        <w:szCs w:val="18"/>
      </w:rPr>
    </w:pPr>
    <w:r w:rsidRPr="008B1CD5">
      <w:rPr>
        <w:rFonts w:asciiTheme="majorHAnsi" w:hAnsiTheme="majorHAnsi"/>
        <w:color w:val="6B767C"/>
        <w:sz w:val="18"/>
        <w:szCs w:val="18"/>
      </w:rPr>
      <w:t>You can also watch our Great Minds series of videos by visiting</w:t>
    </w:r>
  </w:p>
  <w:p w14:paraId="5FBFFA7E" w14:textId="77777777" w:rsidR="003D09D1" w:rsidRPr="008B1CD5" w:rsidRDefault="003D09D1" w:rsidP="00202FAD">
    <w:pPr>
      <w:spacing w:after="0"/>
      <w:rPr>
        <w:rFonts w:asciiTheme="majorHAnsi" w:hAnsiTheme="majorHAnsi"/>
        <w:color w:val="6B767C"/>
        <w:sz w:val="18"/>
        <w:szCs w:val="18"/>
      </w:rPr>
    </w:pPr>
    <w:r w:rsidRPr="008B1CD5">
      <w:rPr>
        <w:rFonts w:asciiTheme="majorHAnsi" w:hAnsiTheme="majorHAnsi"/>
        <w:color w:val="6B767C"/>
        <w:sz w:val="18"/>
        <w:szCs w:val="18"/>
      </w:rPr>
      <w:t>www.youtube.com/mindaustralia</w:t>
    </w:r>
  </w:p>
  <w:p w14:paraId="62F98DE9" w14:textId="77777777" w:rsidR="003D09D1" w:rsidRPr="008B1CD5" w:rsidRDefault="003D09D1" w:rsidP="00202FAD">
    <w:pPr>
      <w:tabs>
        <w:tab w:val="left" w:pos="1680"/>
      </w:tabs>
      <w:spacing w:after="0"/>
      <w:rPr>
        <w:rFonts w:asciiTheme="majorHAnsi" w:hAnsiTheme="majorHAnsi"/>
        <w:color w:val="6B767C"/>
        <w:sz w:val="18"/>
        <w:szCs w:val="18"/>
      </w:rPr>
    </w:pPr>
    <w:r w:rsidRPr="008B1CD5">
      <w:rPr>
        <w:rFonts w:asciiTheme="majorHAnsi" w:hAnsiTheme="majorHAnsi"/>
        <w:color w:val="6B767C"/>
        <w:sz w:val="18"/>
        <w:szCs w:val="18"/>
      </w:rPr>
      <w:t>Mind Australia Limited ABN 22 005 063 589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95458" w14:textId="77777777" w:rsidR="005B3E8F" w:rsidRDefault="005B3E8F" w:rsidP="003175E6">
      <w:pPr>
        <w:spacing w:after="0" w:line="240" w:lineRule="auto"/>
      </w:pPr>
      <w:r>
        <w:separator/>
      </w:r>
    </w:p>
  </w:footnote>
  <w:footnote w:type="continuationSeparator" w:id="0">
    <w:p w14:paraId="2A5CB5B1" w14:textId="77777777" w:rsidR="005B3E8F" w:rsidRDefault="005B3E8F" w:rsidP="00317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EC2B" w14:textId="77777777" w:rsidR="003D09D1" w:rsidRDefault="003D09D1" w:rsidP="003175E6">
    <w:pPr>
      <w:pStyle w:val="Header"/>
      <w:jc w:val="right"/>
    </w:pPr>
  </w:p>
  <w:p w14:paraId="4CC4F51A" w14:textId="77777777" w:rsidR="003D09D1" w:rsidRDefault="003D09D1" w:rsidP="003175E6">
    <w:pPr>
      <w:pStyle w:val="Header"/>
      <w:jc w:val="right"/>
    </w:pPr>
    <w:r>
      <w:rPr>
        <w:noProof/>
        <w:lang w:eastAsia="en-AU"/>
      </w:rPr>
      <w:drawing>
        <wp:anchor distT="0" distB="0" distL="114300" distR="114300" simplePos="0" relativeHeight="251659264" behindDoc="1" locked="0" layoutInCell="1" allowOverlap="1" wp14:anchorId="5D47E87A" wp14:editId="2AAE745A">
          <wp:simplePos x="0" y="0"/>
          <wp:positionH relativeFrom="column">
            <wp:posOffset>4271645</wp:posOffset>
          </wp:positionH>
          <wp:positionV relativeFrom="paragraph">
            <wp:posOffset>-252095</wp:posOffset>
          </wp:positionV>
          <wp:extent cx="1537200" cy="882000"/>
          <wp:effectExtent l="0" t="0" r="0" b="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537200" cy="882000"/>
                  </a:xfrm>
                  <a:prstGeom prst="rect">
                    <a:avLst/>
                  </a:prstGeom>
                </pic:spPr>
              </pic:pic>
            </a:graphicData>
          </a:graphic>
          <wp14:sizeRelH relativeFrom="margin">
            <wp14:pctWidth>0</wp14:pctWidth>
          </wp14:sizeRelH>
          <wp14:sizeRelV relativeFrom="margin">
            <wp14:pctHeight>0</wp14:pctHeight>
          </wp14:sizeRelV>
        </wp:anchor>
      </w:drawing>
    </w:r>
  </w:p>
  <w:p w14:paraId="3AFBCB39" w14:textId="77777777" w:rsidR="003D09D1" w:rsidRDefault="003D09D1" w:rsidP="003175E6">
    <w:pPr>
      <w:pStyle w:val="Header"/>
      <w:jc w:val="right"/>
    </w:pPr>
  </w:p>
  <w:p w14:paraId="68B02F4F" w14:textId="77777777" w:rsidR="003D09D1" w:rsidRDefault="003D09D1" w:rsidP="003175E6">
    <w:pPr>
      <w:pStyle w:val="Header"/>
      <w:jc w:val="right"/>
    </w:pPr>
  </w:p>
  <w:p w14:paraId="4A13CF3A" w14:textId="77777777" w:rsidR="003D09D1" w:rsidRDefault="003D09D1" w:rsidP="003175E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95CC" w14:textId="77777777" w:rsidR="003D09D1" w:rsidRDefault="003D09D1">
    <w:pPr>
      <w:pStyle w:val="Header"/>
    </w:pPr>
  </w:p>
  <w:p w14:paraId="73A4830E" w14:textId="77777777" w:rsidR="003D09D1" w:rsidRDefault="003D09D1">
    <w:pPr>
      <w:pStyle w:val="Header"/>
    </w:pPr>
    <w:r>
      <w:rPr>
        <w:noProof/>
        <w:lang w:eastAsia="en-AU"/>
      </w:rPr>
      <w:drawing>
        <wp:anchor distT="0" distB="0" distL="114300" distR="114300" simplePos="0" relativeHeight="251669504" behindDoc="1" locked="0" layoutInCell="1" allowOverlap="1" wp14:anchorId="1ADAF1FB" wp14:editId="5C81FA5B">
          <wp:simplePos x="0" y="0"/>
          <wp:positionH relativeFrom="column">
            <wp:posOffset>4229681</wp:posOffset>
          </wp:positionH>
          <wp:positionV relativeFrom="paragraph">
            <wp:posOffset>-146050</wp:posOffset>
          </wp:positionV>
          <wp:extent cx="1537200" cy="882000"/>
          <wp:effectExtent l="0" t="0" r="0" b="762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537200" cy="882000"/>
                  </a:xfrm>
                  <a:prstGeom prst="rect">
                    <a:avLst/>
                  </a:prstGeom>
                </pic:spPr>
              </pic:pic>
            </a:graphicData>
          </a:graphic>
          <wp14:sizeRelH relativeFrom="margin">
            <wp14:pctWidth>0</wp14:pctWidth>
          </wp14:sizeRelH>
          <wp14:sizeRelV relativeFrom="margin">
            <wp14:pctHeight>0</wp14:pctHeight>
          </wp14:sizeRelV>
        </wp:anchor>
      </w:drawing>
    </w:r>
  </w:p>
  <w:p w14:paraId="0944A906" w14:textId="77777777" w:rsidR="003D09D1" w:rsidRDefault="003D09D1">
    <w:pPr>
      <w:pStyle w:val="Header"/>
    </w:pPr>
  </w:p>
  <w:p w14:paraId="2A150540" w14:textId="77777777" w:rsidR="003D09D1" w:rsidRDefault="003D09D1">
    <w:pPr>
      <w:pStyle w:val="Header"/>
    </w:pPr>
  </w:p>
  <w:p w14:paraId="03773954" w14:textId="77777777" w:rsidR="003D09D1" w:rsidRDefault="003D0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DE0"/>
    <w:multiLevelType w:val="hybridMultilevel"/>
    <w:tmpl w:val="D876AEB8"/>
    <w:lvl w:ilvl="0" w:tplc="19BCA68C">
      <w:numFmt w:val="bullet"/>
      <w:lvlText w:val="•"/>
      <w:lvlJc w:val="left"/>
      <w:pPr>
        <w:ind w:left="1440" w:hanging="720"/>
      </w:pPr>
      <w:rPr>
        <w:rFonts w:ascii="Calibri" w:eastAsiaTheme="minorHAnsi" w:hAnsi="Calibri" w:cstheme="majorHAns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6BD361A"/>
    <w:multiLevelType w:val="hybridMultilevel"/>
    <w:tmpl w:val="293EB4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6526E2"/>
    <w:multiLevelType w:val="hybridMultilevel"/>
    <w:tmpl w:val="F356B36E"/>
    <w:lvl w:ilvl="0" w:tplc="8F2025C8">
      <w:start w:val="1"/>
      <w:numFmt w:val="bullet"/>
      <w:lvlText w:val=""/>
      <w:lvlJc w:val="left"/>
      <w:pPr>
        <w:ind w:left="510" w:hanging="227"/>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FC35EAD"/>
    <w:multiLevelType w:val="hybridMultilevel"/>
    <w:tmpl w:val="D20CB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F2625B"/>
    <w:multiLevelType w:val="hybridMultilevel"/>
    <w:tmpl w:val="29F86A6C"/>
    <w:lvl w:ilvl="0" w:tplc="19BCA68C">
      <w:numFmt w:val="bullet"/>
      <w:lvlText w:val="•"/>
      <w:lvlJc w:val="left"/>
      <w:pPr>
        <w:ind w:left="1080" w:hanging="720"/>
      </w:pPr>
      <w:rPr>
        <w:rFonts w:ascii="Calibri" w:eastAsiaTheme="minorHAnsi" w:hAnsi="Calibri"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FD64DA"/>
    <w:multiLevelType w:val="hybridMultilevel"/>
    <w:tmpl w:val="C21E6AE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2924DA"/>
    <w:multiLevelType w:val="hybridMultilevel"/>
    <w:tmpl w:val="D1DA51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9EB1946"/>
    <w:multiLevelType w:val="hybridMultilevel"/>
    <w:tmpl w:val="38E61D12"/>
    <w:lvl w:ilvl="0" w:tplc="0C090001">
      <w:start w:val="1"/>
      <w:numFmt w:val="bullet"/>
      <w:lvlText w:val=""/>
      <w:lvlJc w:val="left"/>
      <w:pPr>
        <w:tabs>
          <w:tab w:val="num" w:pos="170"/>
        </w:tabs>
        <w:ind w:left="170" w:hanging="170"/>
      </w:pPr>
      <w:rPr>
        <w:rFonts w:ascii="Symbol" w:hAnsi="Symbol" w:hint="default"/>
      </w:rPr>
    </w:lvl>
    <w:lvl w:ilvl="1" w:tplc="A552D41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3C5C5CFB"/>
    <w:multiLevelType w:val="hybridMultilevel"/>
    <w:tmpl w:val="98801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AF2B92"/>
    <w:multiLevelType w:val="hybridMultilevel"/>
    <w:tmpl w:val="70E0B3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5D36C5A"/>
    <w:multiLevelType w:val="hybridMultilevel"/>
    <w:tmpl w:val="30E2CB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D014B3"/>
    <w:multiLevelType w:val="hybridMultilevel"/>
    <w:tmpl w:val="B4186D5C"/>
    <w:lvl w:ilvl="0" w:tplc="4768CAE0">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53CC1082"/>
    <w:multiLevelType w:val="hybridMultilevel"/>
    <w:tmpl w:val="2EC48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046403"/>
    <w:multiLevelType w:val="hybridMultilevel"/>
    <w:tmpl w:val="07B85A76"/>
    <w:lvl w:ilvl="0" w:tplc="B60ED06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5CAA1FA7"/>
    <w:multiLevelType w:val="hybridMultilevel"/>
    <w:tmpl w:val="0B5ADBAE"/>
    <w:lvl w:ilvl="0" w:tplc="33CA218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5" w15:restartNumberingAfterBreak="0">
    <w:nsid w:val="5FC66910"/>
    <w:multiLevelType w:val="hybridMultilevel"/>
    <w:tmpl w:val="C3844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3142F2"/>
    <w:multiLevelType w:val="hybridMultilevel"/>
    <w:tmpl w:val="DA36C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C5FFB"/>
    <w:multiLevelType w:val="hybridMultilevel"/>
    <w:tmpl w:val="EDF2FB4C"/>
    <w:lvl w:ilvl="0" w:tplc="19BCA68C">
      <w:numFmt w:val="bullet"/>
      <w:lvlText w:val="•"/>
      <w:lvlJc w:val="left"/>
      <w:pPr>
        <w:ind w:left="1080" w:hanging="720"/>
      </w:pPr>
      <w:rPr>
        <w:rFonts w:ascii="Calibri" w:eastAsiaTheme="minorHAnsi" w:hAnsi="Calibri"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D019E6"/>
    <w:multiLevelType w:val="hybridMultilevel"/>
    <w:tmpl w:val="7C4028E2"/>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F1D4EAB"/>
    <w:multiLevelType w:val="hybridMultilevel"/>
    <w:tmpl w:val="A12A41AA"/>
    <w:lvl w:ilvl="0" w:tplc="708054DC">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num w:numId="1" w16cid:durableId="1983461603">
    <w:abstractNumId w:val="3"/>
  </w:num>
  <w:num w:numId="2" w16cid:durableId="530076488">
    <w:abstractNumId w:val="10"/>
  </w:num>
  <w:num w:numId="3" w16cid:durableId="675421643">
    <w:abstractNumId w:val="6"/>
  </w:num>
  <w:num w:numId="4" w16cid:durableId="1941915443">
    <w:abstractNumId w:val="2"/>
  </w:num>
  <w:num w:numId="5" w16cid:durableId="1827480053">
    <w:abstractNumId w:val="1"/>
  </w:num>
  <w:num w:numId="6" w16cid:durableId="987200523">
    <w:abstractNumId w:val="8"/>
  </w:num>
  <w:num w:numId="7" w16cid:durableId="1942057246">
    <w:abstractNumId w:val="13"/>
  </w:num>
  <w:num w:numId="8" w16cid:durableId="772825154">
    <w:abstractNumId w:val="9"/>
  </w:num>
  <w:num w:numId="9" w16cid:durableId="683094159">
    <w:abstractNumId w:val="7"/>
  </w:num>
  <w:num w:numId="10" w16cid:durableId="137888248">
    <w:abstractNumId w:val="19"/>
  </w:num>
  <w:num w:numId="11" w16cid:durableId="604312500">
    <w:abstractNumId w:val="11"/>
  </w:num>
  <w:num w:numId="12" w16cid:durableId="1493914204">
    <w:abstractNumId w:val="14"/>
  </w:num>
  <w:num w:numId="13" w16cid:durableId="1229727127">
    <w:abstractNumId w:val="16"/>
  </w:num>
  <w:num w:numId="14" w16cid:durableId="1353385321">
    <w:abstractNumId w:val="17"/>
  </w:num>
  <w:num w:numId="15" w16cid:durableId="1483427443">
    <w:abstractNumId w:val="4"/>
  </w:num>
  <w:num w:numId="16" w16cid:durableId="1570770093">
    <w:abstractNumId w:val="0"/>
  </w:num>
  <w:num w:numId="17" w16cid:durableId="1869637748">
    <w:abstractNumId w:val="18"/>
  </w:num>
  <w:num w:numId="18" w16cid:durableId="737286233">
    <w:abstractNumId w:val="15"/>
  </w:num>
  <w:num w:numId="19" w16cid:durableId="1893074599">
    <w:abstractNumId w:val="12"/>
  </w:num>
  <w:num w:numId="20" w16cid:durableId="950624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16A"/>
    <w:rsid w:val="000127AD"/>
    <w:rsid w:val="0002487F"/>
    <w:rsid w:val="00040201"/>
    <w:rsid w:val="000473CD"/>
    <w:rsid w:val="00092800"/>
    <w:rsid w:val="000F089E"/>
    <w:rsid w:val="000F3351"/>
    <w:rsid w:val="00144C70"/>
    <w:rsid w:val="00146E40"/>
    <w:rsid w:val="00147F19"/>
    <w:rsid w:val="00162D00"/>
    <w:rsid w:val="00181DAB"/>
    <w:rsid w:val="00190B9A"/>
    <w:rsid w:val="001A4ADD"/>
    <w:rsid w:val="001B525E"/>
    <w:rsid w:val="001B7E23"/>
    <w:rsid w:val="001F207D"/>
    <w:rsid w:val="001F7922"/>
    <w:rsid w:val="00202FAD"/>
    <w:rsid w:val="00231C43"/>
    <w:rsid w:val="00253537"/>
    <w:rsid w:val="00277123"/>
    <w:rsid w:val="0029397B"/>
    <w:rsid w:val="002D60C9"/>
    <w:rsid w:val="002E3EE3"/>
    <w:rsid w:val="002F0B07"/>
    <w:rsid w:val="002F5C5B"/>
    <w:rsid w:val="003175E6"/>
    <w:rsid w:val="00324148"/>
    <w:rsid w:val="0033629C"/>
    <w:rsid w:val="00385EE4"/>
    <w:rsid w:val="003D09D1"/>
    <w:rsid w:val="00413441"/>
    <w:rsid w:val="00420F97"/>
    <w:rsid w:val="00437A2A"/>
    <w:rsid w:val="00472F50"/>
    <w:rsid w:val="00487E9F"/>
    <w:rsid w:val="004F69C5"/>
    <w:rsid w:val="005032B9"/>
    <w:rsid w:val="00513262"/>
    <w:rsid w:val="00513CC6"/>
    <w:rsid w:val="00530FB4"/>
    <w:rsid w:val="00534442"/>
    <w:rsid w:val="00541DBE"/>
    <w:rsid w:val="00551816"/>
    <w:rsid w:val="00552D60"/>
    <w:rsid w:val="00573F44"/>
    <w:rsid w:val="00595D03"/>
    <w:rsid w:val="005B3E8F"/>
    <w:rsid w:val="005E53CA"/>
    <w:rsid w:val="005E58FB"/>
    <w:rsid w:val="00604FCD"/>
    <w:rsid w:val="00614469"/>
    <w:rsid w:val="006337F7"/>
    <w:rsid w:val="00666B8D"/>
    <w:rsid w:val="00692D66"/>
    <w:rsid w:val="006B0298"/>
    <w:rsid w:val="006C7DA5"/>
    <w:rsid w:val="006D0020"/>
    <w:rsid w:val="006E1424"/>
    <w:rsid w:val="00710E56"/>
    <w:rsid w:val="00773F99"/>
    <w:rsid w:val="00776578"/>
    <w:rsid w:val="007B1A38"/>
    <w:rsid w:val="007B7A32"/>
    <w:rsid w:val="007C7278"/>
    <w:rsid w:val="007E3782"/>
    <w:rsid w:val="008101FD"/>
    <w:rsid w:val="008210CD"/>
    <w:rsid w:val="0083059F"/>
    <w:rsid w:val="00831786"/>
    <w:rsid w:val="00833285"/>
    <w:rsid w:val="008344EE"/>
    <w:rsid w:val="008479C1"/>
    <w:rsid w:val="00881B82"/>
    <w:rsid w:val="00890560"/>
    <w:rsid w:val="008B1CD5"/>
    <w:rsid w:val="008B7AD2"/>
    <w:rsid w:val="00905143"/>
    <w:rsid w:val="009060AA"/>
    <w:rsid w:val="0095122E"/>
    <w:rsid w:val="009619F4"/>
    <w:rsid w:val="009626FE"/>
    <w:rsid w:val="00A033FF"/>
    <w:rsid w:val="00A13DD9"/>
    <w:rsid w:val="00A6216A"/>
    <w:rsid w:val="00A74E91"/>
    <w:rsid w:val="00A84DF7"/>
    <w:rsid w:val="00A87CD8"/>
    <w:rsid w:val="00AC2F4F"/>
    <w:rsid w:val="00B0475E"/>
    <w:rsid w:val="00B53C9B"/>
    <w:rsid w:val="00B6087F"/>
    <w:rsid w:val="00B67FDA"/>
    <w:rsid w:val="00B778B6"/>
    <w:rsid w:val="00B92C40"/>
    <w:rsid w:val="00BD6131"/>
    <w:rsid w:val="00BF3456"/>
    <w:rsid w:val="00C23644"/>
    <w:rsid w:val="00C6116A"/>
    <w:rsid w:val="00CA6271"/>
    <w:rsid w:val="00CC58A1"/>
    <w:rsid w:val="00D10700"/>
    <w:rsid w:val="00D14F7C"/>
    <w:rsid w:val="00D331A0"/>
    <w:rsid w:val="00D47DB6"/>
    <w:rsid w:val="00D6082D"/>
    <w:rsid w:val="00D70C20"/>
    <w:rsid w:val="00D70C88"/>
    <w:rsid w:val="00D95190"/>
    <w:rsid w:val="00DA453F"/>
    <w:rsid w:val="00DB01F7"/>
    <w:rsid w:val="00DD661E"/>
    <w:rsid w:val="00E105AD"/>
    <w:rsid w:val="00E16B3B"/>
    <w:rsid w:val="00E32325"/>
    <w:rsid w:val="00E41906"/>
    <w:rsid w:val="00E6088B"/>
    <w:rsid w:val="00E674FA"/>
    <w:rsid w:val="00EC3907"/>
    <w:rsid w:val="00ED284F"/>
    <w:rsid w:val="00F86304"/>
    <w:rsid w:val="00FB4851"/>
    <w:rsid w:val="00FE22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8F51B"/>
  <w15:docId w15:val="{02038241-69C5-4B05-AAA9-A2A0C40D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5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0B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1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7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5E6"/>
  </w:style>
  <w:style w:type="paragraph" w:styleId="Footer">
    <w:name w:val="footer"/>
    <w:basedOn w:val="Normal"/>
    <w:link w:val="FooterChar"/>
    <w:uiPriority w:val="99"/>
    <w:unhideWhenUsed/>
    <w:rsid w:val="00317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5E6"/>
  </w:style>
  <w:style w:type="character" w:customStyle="1" w:styleId="Heading1Char">
    <w:name w:val="Heading 1 Char"/>
    <w:basedOn w:val="DefaultParagraphFont"/>
    <w:link w:val="Heading1"/>
    <w:uiPriority w:val="9"/>
    <w:rsid w:val="003175E6"/>
    <w:rPr>
      <w:rFonts w:asciiTheme="majorHAnsi" w:eastAsiaTheme="majorEastAsia" w:hAnsiTheme="majorHAnsi" w:cstheme="majorBidi"/>
      <w:color w:val="2E74B5" w:themeColor="accent1" w:themeShade="BF"/>
      <w:sz w:val="32"/>
      <w:szCs w:val="32"/>
    </w:rPr>
  </w:style>
  <w:style w:type="paragraph" w:styleId="ListParagraph">
    <w:name w:val="List Paragraph"/>
    <w:aliases w:val="Bullet point"/>
    <w:basedOn w:val="Normal"/>
    <w:link w:val="ListParagraphChar"/>
    <w:uiPriority w:val="34"/>
    <w:qFormat/>
    <w:rsid w:val="003175E6"/>
    <w:pPr>
      <w:spacing w:after="0" w:line="240" w:lineRule="auto"/>
      <w:ind w:left="720"/>
      <w:contextualSpacing/>
    </w:pPr>
    <w:rPr>
      <w:rFonts w:eastAsiaTheme="minorEastAsia"/>
      <w:sz w:val="24"/>
      <w:szCs w:val="24"/>
      <w:lang w:val="en-US"/>
    </w:rPr>
  </w:style>
  <w:style w:type="character" w:customStyle="1" w:styleId="Heading2Char">
    <w:name w:val="Heading 2 Char"/>
    <w:basedOn w:val="DefaultParagraphFont"/>
    <w:link w:val="Heading2"/>
    <w:uiPriority w:val="9"/>
    <w:rsid w:val="00190B9A"/>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6C7DA5"/>
    <w:pPr>
      <w:spacing w:after="0" w:line="240" w:lineRule="auto"/>
    </w:pPr>
  </w:style>
  <w:style w:type="paragraph" w:styleId="BalloonText">
    <w:name w:val="Balloon Text"/>
    <w:basedOn w:val="Normal"/>
    <w:link w:val="BalloonTextChar"/>
    <w:uiPriority w:val="99"/>
    <w:semiHidden/>
    <w:unhideWhenUsed/>
    <w:rsid w:val="00B77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8B6"/>
    <w:rPr>
      <w:rFonts w:ascii="Segoe UI" w:hAnsi="Segoe UI" w:cs="Segoe UI"/>
      <w:sz w:val="18"/>
      <w:szCs w:val="18"/>
    </w:rPr>
  </w:style>
  <w:style w:type="character" w:customStyle="1" w:styleId="ListParagraphChar">
    <w:name w:val="List Paragraph Char"/>
    <w:aliases w:val="Bullet point Char"/>
    <w:basedOn w:val="DefaultParagraphFont"/>
    <w:link w:val="ListParagraph"/>
    <w:uiPriority w:val="34"/>
    <w:locked/>
    <w:rsid w:val="00E105AD"/>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73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C417-62F1-4D15-A364-30AAB7541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1283</Words>
  <Characters>7319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Mind Australia</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Jenkins</dc:creator>
  <cp:keywords/>
  <dc:description/>
  <cp:lastModifiedBy>Lisa Morell</cp:lastModifiedBy>
  <cp:revision>2</cp:revision>
  <cp:lastPrinted>2019-12-27T02:17:00Z</cp:lastPrinted>
  <dcterms:created xsi:type="dcterms:W3CDTF">2026-07-06T08:03:00Z</dcterms:created>
  <dcterms:modified xsi:type="dcterms:W3CDTF">2026-07-06T08:03:00Z</dcterms:modified>
</cp:coreProperties>
</file>