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6B13" w14:textId="77777777" w:rsidR="0066075E" w:rsidRPr="007271C6" w:rsidRDefault="0066075E" w:rsidP="0066075E">
      <w:pPr>
        <w:pStyle w:val="Default"/>
        <w:spacing w:after="160" w:line="360" w:lineRule="auto"/>
        <w:rPr>
          <w:b/>
          <w:bCs/>
          <w:color w:val="auto"/>
          <w:sz w:val="96"/>
          <w:szCs w:val="96"/>
        </w:rPr>
      </w:pPr>
      <w:r w:rsidRPr="007271C6">
        <w:rPr>
          <w:b/>
          <w:bCs/>
          <w:noProof/>
          <w:color w:val="auto"/>
          <w:sz w:val="96"/>
          <w:szCs w:val="96"/>
        </w:rPr>
        <w:drawing>
          <wp:inline distT="0" distB="0" distL="0" distR="0" wp14:anchorId="63AAC309" wp14:editId="798848DF">
            <wp:extent cx="1880559" cy="696639"/>
            <wp:effectExtent l="0" t="0" r="5715" b="8255"/>
            <wp:docPr id="1821206810" name="Picture 1" descr="A logo with orange circle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06810" name="Picture 1" descr="A logo with orange circle and blu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502" cy="7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0E76" w14:textId="1391E192" w:rsidR="0066075E" w:rsidRPr="00B91931" w:rsidRDefault="0066075E" w:rsidP="00B91931">
      <w:pPr>
        <w:pStyle w:val="Default"/>
        <w:spacing w:after="160" w:line="360" w:lineRule="auto"/>
        <w:jc w:val="center"/>
        <w:rPr>
          <w:b/>
          <w:bCs/>
          <w:color w:val="002060"/>
          <w:sz w:val="60"/>
          <w:szCs w:val="60"/>
        </w:rPr>
      </w:pPr>
      <w:r w:rsidRPr="00B91931">
        <w:rPr>
          <w:b/>
          <w:bCs/>
          <w:color w:val="002060"/>
          <w:sz w:val="60"/>
          <w:szCs w:val="60"/>
        </w:rPr>
        <w:t>First Nations Coordinator</w:t>
      </w:r>
      <w:r w:rsidR="00B91931">
        <w:rPr>
          <w:b/>
          <w:bCs/>
          <w:color w:val="002060"/>
          <w:sz w:val="60"/>
          <w:szCs w:val="60"/>
        </w:rPr>
        <w:br/>
        <w:t>(Identified)</w:t>
      </w:r>
    </w:p>
    <w:tbl>
      <w:tblPr>
        <w:tblStyle w:val="TableGrid"/>
        <w:tblW w:w="9634" w:type="dxa"/>
        <w:jc w:val="center"/>
        <w:tblBorders>
          <w:top w:val="single" w:sz="4" w:space="0" w:color="004B87"/>
          <w:left w:val="single" w:sz="4" w:space="0" w:color="004B87"/>
          <w:bottom w:val="single" w:sz="4" w:space="0" w:color="004B87"/>
          <w:right w:val="single" w:sz="4" w:space="0" w:color="004B87"/>
          <w:insideH w:val="single" w:sz="4" w:space="0" w:color="004B87"/>
          <w:insideV w:val="single" w:sz="4" w:space="0" w:color="004B87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66075E" w14:paraId="18D7067F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4BE30768" w14:textId="52881494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Title</w:t>
            </w:r>
          </w:p>
        </w:tc>
        <w:tc>
          <w:tcPr>
            <w:tcW w:w="7087" w:type="dxa"/>
            <w:shd w:val="clear" w:color="auto" w:fill="004B87"/>
          </w:tcPr>
          <w:p w14:paraId="5FA0046F" w14:textId="446F76B4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First Nations Coordinator</w:t>
            </w:r>
          </w:p>
        </w:tc>
      </w:tr>
      <w:tr w:rsidR="0066075E" w14:paraId="7F7418D7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0C20E665" w14:textId="33660BC0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Status</w:t>
            </w:r>
          </w:p>
        </w:tc>
        <w:tc>
          <w:tcPr>
            <w:tcW w:w="7087" w:type="dxa"/>
            <w:shd w:val="clear" w:color="auto" w:fill="004B87"/>
          </w:tcPr>
          <w:p w14:paraId="65336344" w14:textId="5C0A3324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Permanent</w:t>
            </w:r>
          </w:p>
        </w:tc>
      </w:tr>
      <w:tr w:rsidR="0066075E" w14:paraId="3FEF2A3F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23E9FAF3" w14:textId="7F838950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Hours of work</w:t>
            </w:r>
          </w:p>
        </w:tc>
        <w:tc>
          <w:tcPr>
            <w:tcW w:w="7087" w:type="dxa"/>
            <w:shd w:val="clear" w:color="auto" w:fill="004B87"/>
          </w:tcPr>
          <w:p w14:paraId="624D0614" w14:textId="3C9B0FB6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Up to full time (35 hours)</w:t>
            </w:r>
          </w:p>
        </w:tc>
      </w:tr>
      <w:tr w:rsidR="0066075E" w14:paraId="7D756639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55348BD3" w14:textId="68B7A0FE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Award Level</w:t>
            </w:r>
          </w:p>
        </w:tc>
        <w:tc>
          <w:tcPr>
            <w:tcW w:w="7087" w:type="dxa"/>
            <w:shd w:val="clear" w:color="auto" w:fill="004B87"/>
          </w:tcPr>
          <w:p w14:paraId="5BE50ECB" w14:textId="59A47E66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Level 6-7</w:t>
            </w:r>
            <w:r w:rsidR="00B91931">
              <w:rPr>
                <w:rFonts w:cs="Arial"/>
                <w:b/>
                <w:bCs/>
              </w:rPr>
              <w:t xml:space="preserve"> </w:t>
            </w:r>
            <w:r w:rsidRPr="0066075E">
              <w:rPr>
                <w:rFonts w:cs="Arial"/>
                <w:b/>
                <w:bCs/>
                <w:i/>
                <w:iCs/>
                <w:sz w:val="18"/>
                <w:szCs w:val="18"/>
              </w:rPr>
              <w:t>Social, Community, Home Care and Disability Services Award 2010</w:t>
            </w:r>
          </w:p>
        </w:tc>
      </w:tr>
      <w:tr w:rsidR="0066075E" w14:paraId="51FBB252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1BDF88CD" w14:textId="61E38E72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Salary</w:t>
            </w:r>
          </w:p>
        </w:tc>
        <w:tc>
          <w:tcPr>
            <w:tcW w:w="7087" w:type="dxa"/>
            <w:shd w:val="clear" w:color="auto" w:fill="004B87"/>
          </w:tcPr>
          <w:p w14:paraId="698FF01F" w14:textId="6838B5BA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Starting $110,000 per year plus colonial loading (pro rata)</w:t>
            </w:r>
          </w:p>
        </w:tc>
      </w:tr>
      <w:tr w:rsidR="0066075E" w14:paraId="29236FD4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3FF4E48E" w14:textId="3014209E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Additional Allowance</w:t>
            </w:r>
          </w:p>
        </w:tc>
        <w:tc>
          <w:tcPr>
            <w:tcW w:w="7087" w:type="dxa"/>
            <w:shd w:val="clear" w:color="auto" w:fill="004B87"/>
          </w:tcPr>
          <w:p w14:paraId="30F10396" w14:textId="6733D26A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 xml:space="preserve">$5,000 Colonial loading </w:t>
            </w:r>
            <w:r>
              <w:rPr>
                <w:rFonts w:cs="Arial"/>
                <w:b/>
                <w:bCs/>
              </w:rPr>
              <w:t xml:space="preserve">allowance </w:t>
            </w:r>
            <w:r w:rsidRPr="0066075E">
              <w:rPr>
                <w:rFonts w:cs="Arial"/>
                <w:b/>
                <w:bCs/>
              </w:rPr>
              <w:t>per year (pro-rata)</w:t>
            </w:r>
          </w:p>
        </w:tc>
      </w:tr>
      <w:tr w:rsidR="0066075E" w14:paraId="07B984C8" w14:textId="77777777" w:rsidTr="00B91931">
        <w:trPr>
          <w:jc w:val="center"/>
        </w:trPr>
        <w:tc>
          <w:tcPr>
            <w:tcW w:w="2547" w:type="dxa"/>
            <w:shd w:val="clear" w:color="auto" w:fill="004B87"/>
          </w:tcPr>
          <w:p w14:paraId="61D4AE18" w14:textId="3E94451F" w:rsidR="0066075E" w:rsidRPr="0066075E" w:rsidRDefault="0066075E" w:rsidP="00B9193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Reports to</w:t>
            </w:r>
          </w:p>
        </w:tc>
        <w:tc>
          <w:tcPr>
            <w:tcW w:w="7087" w:type="dxa"/>
            <w:shd w:val="clear" w:color="auto" w:fill="004B87"/>
          </w:tcPr>
          <w:p w14:paraId="3727AA35" w14:textId="60E02108" w:rsidR="0066075E" w:rsidRPr="0066075E" w:rsidRDefault="0066075E" w:rsidP="0066075E">
            <w:pPr>
              <w:spacing w:line="360" w:lineRule="auto"/>
              <w:rPr>
                <w:rFonts w:cs="Arial"/>
                <w:b/>
                <w:bCs/>
              </w:rPr>
            </w:pPr>
            <w:r w:rsidRPr="0066075E">
              <w:rPr>
                <w:rFonts w:cs="Arial"/>
                <w:b/>
                <w:bCs/>
              </w:rPr>
              <w:t>Capacity Building Lead</w:t>
            </w:r>
          </w:p>
        </w:tc>
      </w:tr>
    </w:tbl>
    <w:p w14:paraId="09365625" w14:textId="3EEEDFCE" w:rsidR="0066075E" w:rsidRDefault="0066075E" w:rsidP="0066075E">
      <w:pPr>
        <w:pStyle w:val="Heading1"/>
        <w:spacing w:line="360" w:lineRule="auto"/>
      </w:pPr>
      <w:r>
        <w:t>About Us</w:t>
      </w:r>
    </w:p>
    <w:p w14:paraId="5AE39177" w14:textId="77777777" w:rsidR="00B91931" w:rsidRDefault="0066075E" w:rsidP="00B91931">
      <w:pPr>
        <w:spacing w:line="360" w:lineRule="auto"/>
        <w:rPr>
          <w:rFonts w:cs="Arial"/>
        </w:rPr>
      </w:pPr>
      <w:r w:rsidRPr="0066075E">
        <w:rPr>
          <w:rFonts w:cs="Arial"/>
        </w:rPr>
        <w:t xml:space="preserve">Queensland’s community legal centres (CLCs) provide free legal help, education and advocacy to vulnerable people and communities. </w:t>
      </w:r>
    </w:p>
    <w:p w14:paraId="69E25FEC" w14:textId="1F427BCE" w:rsidR="00B91931" w:rsidRPr="0066075E" w:rsidRDefault="0066075E" w:rsidP="00B91931">
      <w:pPr>
        <w:spacing w:line="360" w:lineRule="auto"/>
        <w:rPr>
          <w:rFonts w:cs="Arial"/>
        </w:rPr>
      </w:pPr>
      <w:r w:rsidRPr="0066075E">
        <w:rPr>
          <w:rFonts w:cs="Arial"/>
        </w:rPr>
        <w:t xml:space="preserve">Community Legal Centres Queensland (CLCQ) is the peak body for 32 independent, community-led CLCs across the state, supporting and advocating for the sector to deliver accessible, high-quality services and </w:t>
      </w:r>
      <w:r w:rsidR="008A31B8">
        <w:rPr>
          <w:rFonts w:cs="Arial"/>
        </w:rPr>
        <w:t>work</w:t>
      </w:r>
      <w:r w:rsidR="00B91931" w:rsidRPr="00B91931">
        <w:rPr>
          <w:rFonts w:cs="Arial"/>
        </w:rPr>
        <w:t xml:space="preserve"> towards a fair and just Queensland.</w:t>
      </w:r>
    </w:p>
    <w:p w14:paraId="10EFB437" w14:textId="065DE9BC" w:rsidR="0066075E" w:rsidRPr="0066075E" w:rsidRDefault="0066075E" w:rsidP="0066075E">
      <w:pPr>
        <w:spacing w:line="360" w:lineRule="auto"/>
        <w:rPr>
          <w:rFonts w:cs="Arial"/>
        </w:rPr>
      </w:pPr>
      <w:r w:rsidRPr="5998BF28">
        <w:rPr>
          <w:rFonts w:cs="Arial"/>
        </w:rPr>
        <w:t xml:space="preserve">CLCQ offers generous employment conditions under the </w:t>
      </w:r>
      <w:r w:rsidRPr="5998BF28">
        <w:rPr>
          <w:rFonts w:cs="Arial"/>
          <w:i/>
          <w:iCs/>
        </w:rPr>
        <w:t>Community Legal Centres Queensland Enterprise Agreement 2023</w:t>
      </w:r>
      <w:r w:rsidRPr="5998BF28">
        <w:rPr>
          <w:rFonts w:cs="Arial"/>
        </w:rPr>
        <w:t xml:space="preserve">, including salary packaging, </w:t>
      </w:r>
      <w:r w:rsidR="00B91931" w:rsidRPr="5998BF28">
        <w:rPr>
          <w:rFonts w:cs="Arial"/>
        </w:rPr>
        <w:t>colonial</w:t>
      </w:r>
      <w:r w:rsidRPr="5998BF28">
        <w:rPr>
          <w:rFonts w:cs="Arial"/>
        </w:rPr>
        <w:t xml:space="preserve"> loading</w:t>
      </w:r>
      <w:r w:rsidR="7E6B3422" w:rsidRPr="5998BF28">
        <w:rPr>
          <w:rFonts w:cs="Arial"/>
        </w:rPr>
        <w:t xml:space="preserve"> allowance</w:t>
      </w:r>
      <w:r w:rsidRPr="5998BF28">
        <w:rPr>
          <w:rFonts w:cs="Arial"/>
        </w:rPr>
        <w:t xml:space="preserve"> for First Nations employees, flexible work arrangements, study leave, paid cultural leave, two weeks of Christmas closure, additional superannuation and portable long service leave. Full-time hours are 35 per week (without loss of pay).</w:t>
      </w:r>
    </w:p>
    <w:p w14:paraId="6041F8D5" w14:textId="23B52DBC" w:rsidR="0066075E" w:rsidRPr="00B91931" w:rsidRDefault="00B91931" w:rsidP="0066075E">
      <w:pPr>
        <w:pStyle w:val="Default"/>
        <w:spacing w:after="16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CLCQ</w:t>
      </w:r>
      <w:r w:rsidRPr="00B91931">
        <w:rPr>
          <w:color w:val="auto"/>
          <w:sz w:val="22"/>
          <w:szCs w:val="22"/>
        </w:rPr>
        <w:t xml:space="preserve"> is committed to building a diverse, inclusive, safe and respectful workplace. We value flexibility and recognise the critical importance of First Nations lived experience, cultural knowledge and leadership in strengthening our organisation and the work we do.</w:t>
      </w:r>
    </w:p>
    <w:p w14:paraId="5DF3DB6B" w14:textId="477F1202" w:rsidR="0066075E" w:rsidRPr="007271C6" w:rsidRDefault="00B91931" w:rsidP="5998BF28">
      <w:pPr>
        <w:sectPr w:rsidR="0066075E" w:rsidRPr="007271C6" w:rsidSect="0066075E">
          <w:footerReference w:type="default" r:id="rId11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r>
        <w:t xml:space="preserve">Find out more about us at </w:t>
      </w:r>
      <w:r w:rsidRPr="5998BF28">
        <w:rPr>
          <w:rFonts w:cs="Arial"/>
        </w:rPr>
        <w:t>www.clcq.org.au</w:t>
      </w:r>
      <w:r>
        <w:t>/</w:t>
      </w:r>
    </w:p>
    <w:p w14:paraId="6F35821E" w14:textId="35E637EC" w:rsidR="0066075E" w:rsidRDefault="00B91931" w:rsidP="00B91931">
      <w:pPr>
        <w:pStyle w:val="Heading1"/>
        <w:spacing w:line="360" w:lineRule="auto"/>
      </w:pPr>
      <w:r>
        <w:lastRenderedPageBreak/>
        <w:t>Identified Role</w:t>
      </w:r>
    </w:p>
    <w:p w14:paraId="0703117F" w14:textId="34484D5D" w:rsidR="00B91931" w:rsidRDefault="00B91931" w:rsidP="00B91931">
      <w:pPr>
        <w:spacing w:line="360" w:lineRule="auto"/>
      </w:pPr>
      <w:r>
        <w:t xml:space="preserve">This is an </w:t>
      </w:r>
      <w:r w:rsidRPr="5998BF28">
        <w:rPr>
          <w:b/>
          <w:bCs/>
        </w:rPr>
        <w:t>Identified position.</w:t>
      </w:r>
      <w:r>
        <w:t xml:space="preserve"> Being </w:t>
      </w:r>
      <w:r w:rsidRPr="5998BF28">
        <w:rPr>
          <w:b/>
          <w:bCs/>
        </w:rPr>
        <w:t>Aboriginal and/or Torres Strait Islander</w:t>
      </w:r>
      <w:r>
        <w:t xml:space="preserve"> is a genuine requirement for this role under section 25 of the </w:t>
      </w:r>
      <w:r w:rsidRPr="5998BF28">
        <w:rPr>
          <w:i/>
          <w:iCs/>
        </w:rPr>
        <w:t>Anti-Discrimination Act 1991 (Qld)</w:t>
      </w:r>
      <w:r>
        <w:t xml:space="preserve">. Applicants must be Aboriginal and/or Torres Strait Islander, identify as such, </w:t>
      </w:r>
      <w:r w:rsidRPr="5998BF28">
        <w:rPr>
          <w:u w:val="single"/>
        </w:rPr>
        <w:t>and</w:t>
      </w:r>
      <w:r>
        <w:t xml:space="preserve"> be accepted by their community.</w:t>
      </w:r>
    </w:p>
    <w:p w14:paraId="246EA5B4" w14:textId="77777777" w:rsidR="00B91931" w:rsidRDefault="00B91931" w:rsidP="00B91931">
      <w:pPr>
        <w:pStyle w:val="Heading1"/>
        <w:spacing w:line="360" w:lineRule="auto"/>
      </w:pPr>
      <w:r>
        <w:t>About the Role</w:t>
      </w:r>
    </w:p>
    <w:p w14:paraId="22FD44E8" w14:textId="628587F2" w:rsidR="00B91931" w:rsidRPr="00B91931" w:rsidRDefault="00B91931" w:rsidP="00B91931">
      <w:pPr>
        <w:spacing w:line="360" w:lineRule="auto"/>
        <w:rPr>
          <w:rFonts w:cs="Arial"/>
          <w:color w:val="000000" w:themeColor="text1"/>
        </w:rPr>
      </w:pPr>
      <w:r w:rsidRPr="5998BF28">
        <w:rPr>
          <w:rFonts w:cs="Arial"/>
          <w:color w:val="000000" w:themeColor="text1"/>
        </w:rPr>
        <w:t xml:space="preserve">The First Nations Coordinator is a senior role that provides leadership and guidance across Queensland’s community legal sector to strengthen cultural safety, cultural </w:t>
      </w:r>
      <w:r w:rsidR="5DBAB37E" w:rsidRPr="5998BF28">
        <w:rPr>
          <w:rFonts w:cs="Arial"/>
          <w:color w:val="000000" w:themeColor="text1"/>
        </w:rPr>
        <w:t xml:space="preserve">intelligence </w:t>
      </w:r>
      <w:r w:rsidR="005001FD">
        <w:rPr>
          <w:rFonts w:cs="Arial"/>
          <w:color w:val="000000" w:themeColor="text1"/>
        </w:rPr>
        <w:t>and</w:t>
      </w:r>
      <w:r w:rsidR="5DBAB37E" w:rsidRPr="5998BF28">
        <w:rPr>
          <w:rFonts w:cs="Arial"/>
          <w:color w:val="000000" w:themeColor="text1"/>
        </w:rPr>
        <w:t xml:space="preserve"> capability </w:t>
      </w:r>
      <w:r w:rsidRPr="5998BF28">
        <w:rPr>
          <w:rFonts w:cs="Arial"/>
          <w:color w:val="000000" w:themeColor="text1"/>
        </w:rPr>
        <w:t>and First Nations-led practice.</w:t>
      </w:r>
    </w:p>
    <w:p w14:paraId="694938F1" w14:textId="024AA16D" w:rsidR="00B91931" w:rsidRPr="00B91931" w:rsidRDefault="00B91931" w:rsidP="00B91931">
      <w:pPr>
        <w:spacing w:line="360" w:lineRule="auto"/>
        <w:rPr>
          <w:rFonts w:cs="Arial"/>
          <w:color w:val="000000" w:themeColor="text1"/>
        </w:rPr>
      </w:pPr>
      <w:r w:rsidRPr="00B91931">
        <w:rPr>
          <w:rFonts w:cs="Arial"/>
          <w:color w:val="000000" w:themeColor="text1"/>
        </w:rPr>
        <w:t xml:space="preserve">Working within the Capacity Building Team, the role supports </w:t>
      </w:r>
      <w:r w:rsidR="001863A1">
        <w:rPr>
          <w:rFonts w:cs="Arial"/>
          <w:color w:val="000000" w:themeColor="text1"/>
        </w:rPr>
        <w:t>Queensland CLCs</w:t>
      </w:r>
      <w:r w:rsidRPr="00B91931">
        <w:rPr>
          <w:rFonts w:cs="Arial"/>
          <w:color w:val="000000" w:themeColor="text1"/>
        </w:rPr>
        <w:t xml:space="preserve"> to build culturally safe organisations and services. This includes supporting workforce development, strengthening community relationships, improving organisational capability, and embedding strengths-based approaches that respond to the needs of First Nations clients, families, communities and staff.</w:t>
      </w:r>
    </w:p>
    <w:p w14:paraId="391A6C63" w14:textId="77777777" w:rsidR="00B91931" w:rsidRPr="00B91931" w:rsidRDefault="00B91931" w:rsidP="00B91931">
      <w:pPr>
        <w:spacing w:line="360" w:lineRule="auto"/>
        <w:rPr>
          <w:rFonts w:cs="Arial"/>
          <w:color w:val="000000" w:themeColor="text1"/>
        </w:rPr>
      </w:pPr>
      <w:r w:rsidRPr="00B91931">
        <w:rPr>
          <w:rFonts w:cs="Arial"/>
          <w:color w:val="000000" w:themeColor="text1"/>
        </w:rPr>
        <w:t>The role works closely with First Nations peoples, community-controlled organisations, CLC leaders and member centres to guide sector-wide practice, governance and workforce initiatives, and to promote accountability and meaningful outcomes for First Nations communities.</w:t>
      </w:r>
    </w:p>
    <w:p w14:paraId="45BCEEF3" w14:textId="713DF8FD" w:rsidR="00B91931" w:rsidRDefault="00B91931" w:rsidP="00B91931">
      <w:pPr>
        <w:spacing w:line="360" w:lineRule="auto"/>
        <w:rPr>
          <w:rFonts w:cs="Arial"/>
          <w:color w:val="000000" w:themeColor="text1"/>
        </w:rPr>
      </w:pPr>
      <w:r w:rsidRPr="5998BF28">
        <w:rPr>
          <w:rFonts w:cs="Arial"/>
          <w:color w:val="000000" w:themeColor="text1"/>
        </w:rPr>
        <w:t>You will also contribute to the design and delivery of sector training and development, including webinars,</w:t>
      </w:r>
      <w:r w:rsidR="445FAC4D" w:rsidRPr="5998BF28">
        <w:rPr>
          <w:rFonts w:cs="Arial"/>
          <w:color w:val="000000" w:themeColor="text1"/>
        </w:rPr>
        <w:t xml:space="preserve"> events such as</w:t>
      </w:r>
      <w:r w:rsidRPr="5998BF28">
        <w:rPr>
          <w:rFonts w:cs="Arial"/>
          <w:color w:val="000000" w:themeColor="text1"/>
        </w:rPr>
        <w:t xml:space="preserve"> the annual conference</w:t>
      </w:r>
      <w:r w:rsidR="117087AD" w:rsidRPr="5998BF28">
        <w:rPr>
          <w:rFonts w:cs="Arial"/>
          <w:color w:val="000000" w:themeColor="text1"/>
        </w:rPr>
        <w:t>, Wunya</w:t>
      </w:r>
      <w:r w:rsidRPr="5998BF28">
        <w:rPr>
          <w:rFonts w:cs="Arial"/>
          <w:color w:val="000000" w:themeColor="text1"/>
        </w:rPr>
        <w:t xml:space="preserve"> and the implementation of the First Nations Framework 2025-30.</w:t>
      </w:r>
    </w:p>
    <w:p w14:paraId="19442138" w14:textId="30CCC262" w:rsidR="00B91931" w:rsidRPr="00B91931" w:rsidRDefault="00B91931" w:rsidP="00B91931">
      <w:pPr>
        <w:spacing w:line="360" w:lineRule="auto"/>
        <w:rPr>
          <w:rFonts w:cs="Arial"/>
          <w:b/>
          <w:bCs/>
          <w:color w:val="000000" w:themeColor="text1"/>
        </w:rPr>
      </w:pPr>
      <w:r w:rsidRPr="00B91931">
        <w:rPr>
          <w:rFonts w:cs="Arial"/>
          <w:b/>
          <w:bCs/>
          <w:color w:val="000000" w:themeColor="text1"/>
        </w:rPr>
        <w:t xml:space="preserve">You can find the Framework here: </w:t>
      </w:r>
      <w:hyperlink r:id="rId12" w:history="1">
        <w:r w:rsidRPr="00B91931">
          <w:rPr>
            <w:rStyle w:val="Hyperlink"/>
            <w:rFonts w:cs="Arial"/>
            <w:b/>
            <w:bCs/>
          </w:rPr>
          <w:t>https://www.clcq.org.au/project-and-reports/2025-2030-first-nations-framework/</w:t>
        </w:r>
      </w:hyperlink>
      <w:r w:rsidRPr="00B91931">
        <w:rPr>
          <w:rFonts w:cs="Arial"/>
          <w:b/>
          <w:bCs/>
          <w:color w:val="000000" w:themeColor="text1"/>
        </w:rPr>
        <w:t xml:space="preserve"> </w:t>
      </w:r>
    </w:p>
    <w:p w14:paraId="3D64CA78" w14:textId="77777777" w:rsidR="0066075E" w:rsidRPr="007271C6" w:rsidRDefault="0066075E" w:rsidP="0066075E">
      <w:pPr>
        <w:spacing w:line="360" w:lineRule="auto"/>
        <w:rPr>
          <w:rFonts w:cs="Arial"/>
          <w:color w:val="000000" w:themeColor="text1"/>
          <w:sz w:val="18"/>
        </w:rPr>
      </w:pPr>
    </w:p>
    <w:p w14:paraId="5EB82D77" w14:textId="54CECA2F" w:rsidR="0066075E" w:rsidRDefault="0000589A" w:rsidP="0000589A">
      <w:pPr>
        <w:pStyle w:val="Heading1"/>
        <w:spacing w:line="360" w:lineRule="auto"/>
        <w:ind w:left="360"/>
      </w:pPr>
      <w:bookmarkStart w:id="0" w:name="_Toc219812729"/>
      <w:r>
        <w:t>About You</w:t>
      </w:r>
      <w:bookmarkEnd w:id="0"/>
    </w:p>
    <w:p w14:paraId="2454664E" w14:textId="72D59877" w:rsidR="0049054F" w:rsidRDefault="0049054F" w:rsidP="0000589A">
      <w:pPr>
        <w:spacing w:line="360" w:lineRule="auto"/>
      </w:pPr>
      <w:r w:rsidRPr="0049054F">
        <w:t xml:space="preserve">The </w:t>
      </w:r>
      <w:r w:rsidR="009C122E">
        <w:t>successful</w:t>
      </w:r>
      <w:r w:rsidRPr="0049054F">
        <w:t xml:space="preserve"> candidate</w:t>
      </w:r>
      <w:r w:rsidR="009C122E">
        <w:t xml:space="preserve"> will be able to show</w:t>
      </w:r>
      <w:r w:rsidRPr="0049054F">
        <w:t xml:space="preserve"> cultural humility, integrity and sound judgement, and can work effectively in high-trust, complex environments. You are confident working independently, as part of a small team, and able to follow guidance as needed.</w:t>
      </w:r>
    </w:p>
    <w:p w14:paraId="3A0842D9" w14:textId="6F5ADB8E" w:rsidR="0049054F" w:rsidRDefault="0000589A" w:rsidP="5998BF28">
      <w:pPr>
        <w:spacing w:line="360" w:lineRule="auto"/>
      </w:pPr>
      <w:r>
        <w:lastRenderedPageBreak/>
        <w:t xml:space="preserve">You have experience </w:t>
      </w:r>
      <w:r w:rsidR="00FB0434">
        <w:t xml:space="preserve">or can </w:t>
      </w:r>
      <w:r w:rsidR="001C3077">
        <w:t xml:space="preserve">develop skills to </w:t>
      </w:r>
      <w:r>
        <w:t xml:space="preserve">support the development and wellbeing of First Nations staff and helping organisations strengthen culturally safe </w:t>
      </w:r>
      <w:r w:rsidR="0049054F">
        <w:t>and strengths-based practices</w:t>
      </w:r>
      <w:r>
        <w:t>.</w:t>
      </w:r>
      <w:r w:rsidR="363C52CF">
        <w:t xml:space="preserve"> You have also contributed </w:t>
      </w:r>
      <w:r w:rsidR="00ED14F5">
        <w:t xml:space="preserve">or can develop skills </w:t>
      </w:r>
      <w:r w:rsidR="363C52CF">
        <w:t>to initiatives that strengthen organisational and cultural capabilit</w:t>
      </w:r>
      <w:r w:rsidR="3785B6E5">
        <w:t>y.</w:t>
      </w:r>
    </w:p>
    <w:p w14:paraId="25ADDBD5" w14:textId="44032AA3" w:rsidR="0049054F" w:rsidRDefault="0049054F" w:rsidP="5998BF28">
      <w:pPr>
        <w:spacing w:line="360" w:lineRule="auto"/>
        <w:rPr>
          <w:rFonts w:eastAsiaTheme="minorEastAsia"/>
        </w:rPr>
      </w:pPr>
      <w:r w:rsidRPr="5998BF28">
        <w:rPr>
          <w:rFonts w:eastAsiaTheme="minorEastAsia"/>
        </w:rPr>
        <w:t xml:space="preserve">You </w:t>
      </w:r>
      <w:r w:rsidR="007F4ABD">
        <w:rPr>
          <w:rFonts w:eastAsiaTheme="minorEastAsia"/>
        </w:rPr>
        <w:t xml:space="preserve">have </w:t>
      </w:r>
      <w:r w:rsidRPr="5998BF28">
        <w:rPr>
          <w:rFonts w:eastAsiaTheme="minorEastAsia"/>
        </w:rPr>
        <w:t xml:space="preserve">strong communication, collaboration and relationship-building skills, and work respectfully and effectively with First Nations peoples and communities, community-controlled organisations, Boards, leaders, and government partners. </w:t>
      </w:r>
    </w:p>
    <w:p w14:paraId="223555A1" w14:textId="6B1BD456" w:rsidR="0066075E" w:rsidRDefault="0000589A" w:rsidP="0000589A">
      <w:pPr>
        <w:pStyle w:val="Heading1"/>
        <w:spacing w:line="360" w:lineRule="auto"/>
      </w:pPr>
      <w:r>
        <w:t>Essential Requirements</w:t>
      </w:r>
    </w:p>
    <w:p w14:paraId="1C4EBA0E" w14:textId="77777777" w:rsidR="0049054F" w:rsidRDefault="0049054F" w:rsidP="0000589A">
      <w:pPr>
        <w:pStyle w:val="ListParagraph"/>
        <w:numPr>
          <w:ilvl w:val="0"/>
          <w:numId w:val="10"/>
        </w:numPr>
        <w:spacing w:line="360" w:lineRule="auto"/>
      </w:pPr>
      <w:r w:rsidRPr="0049054F">
        <w:t>This is an identified position – you must be Aboriginal and/or Torres Strait Islander, identify as such, and be accepted by your community.</w:t>
      </w:r>
    </w:p>
    <w:p w14:paraId="54DFF3C9" w14:textId="072F2C04" w:rsidR="0049054F" w:rsidRPr="0049054F" w:rsidRDefault="0049054F" w:rsidP="0000589A">
      <w:pPr>
        <w:pStyle w:val="ListParagraph"/>
        <w:numPr>
          <w:ilvl w:val="0"/>
          <w:numId w:val="10"/>
        </w:numPr>
        <w:spacing w:line="360" w:lineRule="auto"/>
      </w:pPr>
      <w:r w:rsidRPr="5998BF28">
        <w:rPr>
          <w:rFonts w:cs="Arial"/>
        </w:rPr>
        <w:t xml:space="preserve">Demonstrated experience working with First Nations peoples including a strong understanding of </w:t>
      </w:r>
      <w:r w:rsidR="2BCBCA3C" w:rsidRPr="5998BF28">
        <w:rPr>
          <w:rFonts w:cs="Arial"/>
        </w:rPr>
        <w:t>relationship-based</w:t>
      </w:r>
      <w:r w:rsidRPr="5998BF28">
        <w:rPr>
          <w:rFonts w:cs="Arial"/>
        </w:rPr>
        <w:t xml:space="preserve"> work, cultural safety and strengths-based practice.</w:t>
      </w:r>
    </w:p>
    <w:p w14:paraId="366E1D71" w14:textId="1F600609" w:rsidR="0049054F" w:rsidRPr="0049054F" w:rsidRDefault="0049054F" w:rsidP="0000589A">
      <w:pPr>
        <w:pStyle w:val="ListParagraph"/>
        <w:numPr>
          <w:ilvl w:val="0"/>
          <w:numId w:val="10"/>
        </w:numPr>
        <w:spacing w:line="360" w:lineRule="auto"/>
      </w:pPr>
      <w:r w:rsidRPr="0049054F">
        <w:t>Qualifications or a minimum of 3 years’ experience in community development, facilitation, project management, training and development, law, or an equivalent field.</w:t>
      </w:r>
    </w:p>
    <w:p w14:paraId="6059A435" w14:textId="0A3778E2" w:rsidR="0066075E" w:rsidRDefault="0049054F" w:rsidP="0049054F">
      <w:pPr>
        <w:pStyle w:val="Heading1"/>
      </w:pPr>
      <w:r>
        <w:t xml:space="preserve">Selection Criteria – </w:t>
      </w:r>
      <w:r w:rsidR="072CF5FD">
        <w:t>tell us about</w:t>
      </w:r>
      <w:r>
        <w:t xml:space="preserve"> a time you:</w:t>
      </w:r>
    </w:p>
    <w:p w14:paraId="1672EDBD" w14:textId="69E9B7AC" w:rsidR="0049054F" w:rsidRPr="0049054F" w:rsidRDefault="0049054F" w:rsidP="0049054F">
      <w:pPr>
        <w:pStyle w:val="ListParagraph"/>
        <w:numPr>
          <w:ilvl w:val="0"/>
          <w:numId w:val="14"/>
        </w:numPr>
        <w:spacing w:line="360" w:lineRule="auto"/>
      </w:pPr>
      <w:r w:rsidRPr="0049054F">
        <w:t>Demonstrated a keen willingness to learn, a growth mindset, and the ability to work flexibly and creatively.</w:t>
      </w:r>
    </w:p>
    <w:p w14:paraId="48560E29" w14:textId="46382344" w:rsidR="0049054F" w:rsidRDefault="0049054F" w:rsidP="0049054F">
      <w:pPr>
        <w:pStyle w:val="ListParagraph"/>
        <w:numPr>
          <w:ilvl w:val="0"/>
          <w:numId w:val="14"/>
        </w:numPr>
        <w:spacing w:line="360" w:lineRule="auto"/>
      </w:pPr>
      <w:r w:rsidRPr="0049054F">
        <w:t>Developed communications or resources for a range of audiences and worked effectively with diverse stakeholders.</w:t>
      </w:r>
    </w:p>
    <w:p w14:paraId="74169931" w14:textId="77777777" w:rsidR="0049054F" w:rsidRDefault="0049054F" w:rsidP="0049054F">
      <w:pPr>
        <w:pStyle w:val="ListParagraph"/>
        <w:numPr>
          <w:ilvl w:val="0"/>
          <w:numId w:val="14"/>
        </w:numPr>
        <w:spacing w:line="360" w:lineRule="auto"/>
      </w:pPr>
      <w:r>
        <w:t>Supported</w:t>
      </w:r>
      <w:r w:rsidRPr="0049054F">
        <w:t xml:space="preserve"> First Nations leadership, voices, and culturally safe practices across organisations and communities.</w:t>
      </w:r>
    </w:p>
    <w:p w14:paraId="52EF7BA5" w14:textId="67EDE079" w:rsidR="0049054F" w:rsidRDefault="0049054F" w:rsidP="0049054F">
      <w:pPr>
        <w:pStyle w:val="ListParagraph"/>
        <w:numPr>
          <w:ilvl w:val="0"/>
          <w:numId w:val="14"/>
        </w:numPr>
        <w:spacing w:line="360" w:lineRule="auto"/>
      </w:pPr>
      <w:r>
        <w:t>Guided or contributed to programs or initiatives that strengthened organisational cultural capability across multiple teams or organisations.</w:t>
      </w:r>
    </w:p>
    <w:p w14:paraId="2699FB39" w14:textId="48675211" w:rsidR="0049054F" w:rsidRPr="0049054F" w:rsidRDefault="0049054F" w:rsidP="0049054F">
      <w:pPr>
        <w:pStyle w:val="ListParagraph"/>
        <w:numPr>
          <w:ilvl w:val="0"/>
          <w:numId w:val="14"/>
        </w:numPr>
        <w:spacing w:line="360" w:lineRule="auto"/>
      </w:pPr>
      <w:r>
        <w:t>Built strong partnerships and collaborated effectively with diverse stakeholders, including Boards, senior leaders, community-controlled organisations, and government, to achieve meaningful outcomes.</w:t>
      </w:r>
      <w:r>
        <w:br/>
      </w:r>
    </w:p>
    <w:p w14:paraId="79BFCCE7" w14:textId="3E6DA239" w:rsidR="5998BF28" w:rsidRDefault="5998BF28" w:rsidP="5998BF28">
      <w:pPr>
        <w:widowControl w:val="0"/>
        <w:spacing w:after="120" w:line="360" w:lineRule="auto"/>
        <w:rPr>
          <w:rStyle w:val="Heading2Char"/>
        </w:rPr>
      </w:pPr>
    </w:p>
    <w:p w14:paraId="313EF243" w14:textId="72562DF0" w:rsidR="5998BF28" w:rsidRDefault="5998BF28" w:rsidP="5998BF28">
      <w:pPr>
        <w:widowControl w:val="0"/>
        <w:spacing w:after="120" w:line="360" w:lineRule="auto"/>
        <w:rPr>
          <w:rStyle w:val="Heading2Char"/>
        </w:rPr>
      </w:pPr>
    </w:p>
    <w:p w14:paraId="4457D7A0" w14:textId="77777777" w:rsidR="0049054F" w:rsidRPr="0049054F" w:rsidRDefault="0049054F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eastAsia="Arial" w:cs="Arial"/>
        </w:rPr>
      </w:pPr>
      <w:r>
        <w:rPr>
          <w:rStyle w:val="Heading2Char"/>
        </w:rPr>
        <w:lastRenderedPageBreak/>
        <w:t>How to Apply</w:t>
      </w:r>
      <w:r w:rsidR="0066075E">
        <w:br/>
      </w:r>
      <w:r w:rsidRPr="0049054F">
        <w:rPr>
          <w:rFonts w:eastAsia="Arial" w:cs="Arial"/>
        </w:rPr>
        <w:t>We want to make applying as easy as possible. You can:</w:t>
      </w:r>
    </w:p>
    <w:p w14:paraId="78F7E48C" w14:textId="77777777" w:rsidR="0049054F" w:rsidRPr="0049054F" w:rsidRDefault="0049054F" w:rsidP="0049054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eastAsia="Arial" w:cs="Arial"/>
        </w:rPr>
      </w:pPr>
      <w:r w:rsidRPr="0049054F">
        <w:rPr>
          <w:rFonts w:eastAsia="Arial" w:cs="Arial"/>
        </w:rPr>
        <w:t>Write your application, or</w:t>
      </w:r>
    </w:p>
    <w:p w14:paraId="5907BD61" w14:textId="77777777" w:rsidR="0049054F" w:rsidRPr="0049054F" w:rsidRDefault="0049054F" w:rsidP="0049054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eastAsia="Arial" w:cs="Arial"/>
        </w:rPr>
      </w:pPr>
      <w:r w:rsidRPr="0049054F">
        <w:rPr>
          <w:rFonts w:eastAsia="Arial" w:cs="Arial"/>
        </w:rPr>
        <w:t>Send a short video, or</w:t>
      </w:r>
    </w:p>
    <w:p w14:paraId="18F90915" w14:textId="77777777" w:rsidR="0049054F" w:rsidRPr="0049054F" w:rsidRDefault="0049054F" w:rsidP="0049054F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rFonts w:eastAsia="Arial" w:cs="Arial"/>
        </w:rPr>
      </w:pPr>
      <w:r w:rsidRPr="0049054F">
        <w:rPr>
          <w:rFonts w:eastAsia="Arial" w:cs="Arial"/>
        </w:rPr>
        <w:t>Use any other way that shows how you meet the selection criteria.</w:t>
      </w:r>
    </w:p>
    <w:p w14:paraId="7A9A5946" w14:textId="4F36B8EB" w:rsidR="00367010" w:rsidRDefault="00367010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t xml:space="preserve">Feel free to </w:t>
      </w:r>
      <w:r w:rsidRPr="00367010">
        <w:rPr>
          <w:b/>
          <w:bCs/>
        </w:rPr>
        <w:t>have a yarn with us first</w:t>
      </w:r>
      <w:r w:rsidRPr="00367010">
        <w:t xml:space="preserve"> if that helps.</w:t>
      </w:r>
    </w:p>
    <w:p w14:paraId="79761077" w14:textId="77777777" w:rsidR="00367010" w:rsidRDefault="00367010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</w:p>
    <w:p w14:paraId="37378966" w14:textId="5E9BF89C" w:rsidR="00367010" w:rsidRPr="00367010" w:rsidRDefault="00367010" w:rsidP="00367010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t>Please send your application and a current CV or resume to</w:t>
      </w:r>
      <w:r>
        <w:t xml:space="preserve"> </w:t>
      </w:r>
      <w:r w:rsidRPr="00367010">
        <w:t>Rosslyn Monro, Director – rosslyn@clcq.org.au</w:t>
      </w:r>
    </w:p>
    <w:p w14:paraId="689ED921" w14:textId="05D3C7CD" w:rsidR="00367010" w:rsidRPr="00367010" w:rsidRDefault="00367010" w:rsidP="00367010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t>If you have questions about the process or need support, contact:</w:t>
      </w:r>
      <w:r w:rsidRPr="00367010">
        <w:br/>
        <w:t xml:space="preserve">Sammy Cooper, First Nations Capacity Building Lead – </w:t>
      </w:r>
      <w:hyperlink r:id="rId13" w:history="1">
        <w:r w:rsidRPr="00367010">
          <w:rPr>
            <w:rStyle w:val="Hyperlink"/>
          </w:rPr>
          <w:t>sam@clcq.org.au</w:t>
        </w:r>
      </w:hyperlink>
      <w:r>
        <w:t xml:space="preserve"> or 0484 111 777</w:t>
      </w:r>
    </w:p>
    <w:p w14:paraId="54E2993B" w14:textId="77777777" w:rsidR="00367010" w:rsidRDefault="00367010" w:rsidP="00367010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b/>
          <w:bCs/>
        </w:rPr>
      </w:pPr>
    </w:p>
    <w:p w14:paraId="01A9C018" w14:textId="77777777" w:rsidR="00B76F51" w:rsidRPr="00367010" w:rsidRDefault="00B76F51" w:rsidP="00B76F51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rPr>
          <w:b/>
          <w:bCs/>
        </w:rPr>
        <w:t>Key dates:</w:t>
      </w:r>
    </w:p>
    <w:p w14:paraId="683B0B12" w14:textId="1D4AD3FA" w:rsidR="00B76F51" w:rsidRPr="00355865" w:rsidRDefault="00B76F51" w:rsidP="00B76F51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360" w:lineRule="auto"/>
        <w:textAlignment w:val="center"/>
        <w:rPr>
          <w:b/>
          <w:bCs/>
        </w:rPr>
      </w:pPr>
      <w:r w:rsidRPr="00367010">
        <w:t>Applications close</w:t>
      </w:r>
      <w:r>
        <w:t>:</w:t>
      </w:r>
      <w:r w:rsidR="00CA0412">
        <w:rPr>
          <w:b/>
          <w:bCs/>
        </w:rPr>
        <w:t>27 July 2026</w:t>
      </w:r>
      <w:r w:rsidRPr="00355865">
        <w:rPr>
          <w:b/>
          <w:bCs/>
        </w:rPr>
        <w:t xml:space="preserve"> COB</w:t>
      </w:r>
    </w:p>
    <w:p w14:paraId="3C248DC7" w14:textId="1CEA8C57" w:rsidR="00B76F51" w:rsidRPr="00367010" w:rsidRDefault="00B76F51" w:rsidP="00B76F51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t>Shortlisted applicants contacted</w:t>
      </w:r>
      <w:r>
        <w:t xml:space="preserve"> by: </w:t>
      </w:r>
      <w:r w:rsidR="009C603D">
        <w:rPr>
          <w:b/>
          <w:bCs/>
        </w:rPr>
        <w:t>31</w:t>
      </w:r>
      <w:r w:rsidR="009C603D" w:rsidRPr="009C603D">
        <w:rPr>
          <w:b/>
          <w:bCs/>
          <w:vertAlign w:val="superscript"/>
        </w:rPr>
        <w:t>st</w:t>
      </w:r>
      <w:r w:rsidR="009C603D">
        <w:rPr>
          <w:b/>
          <w:bCs/>
        </w:rPr>
        <w:t xml:space="preserve"> July 2026</w:t>
      </w:r>
    </w:p>
    <w:p w14:paraId="615FE13C" w14:textId="46F31BF4" w:rsidR="00B76F51" w:rsidRPr="00355865" w:rsidRDefault="00B76F51" w:rsidP="00B76F51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67010">
        <w:t>Interviews</w:t>
      </w:r>
      <w:r w:rsidRPr="00355865">
        <w:t xml:space="preserve">: </w:t>
      </w:r>
      <w:r w:rsidRPr="00355865">
        <w:rPr>
          <w:b/>
          <w:bCs/>
        </w:rPr>
        <w:t xml:space="preserve">Week commencing Monday </w:t>
      </w:r>
      <w:r w:rsidR="009C603D">
        <w:rPr>
          <w:b/>
          <w:bCs/>
        </w:rPr>
        <w:t>3 August</w:t>
      </w:r>
    </w:p>
    <w:p w14:paraId="3650A1C0" w14:textId="6EFA85D8" w:rsidR="00B76F51" w:rsidRPr="00355865" w:rsidRDefault="00B76F51" w:rsidP="00B76F51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120" w:line="360" w:lineRule="auto"/>
        <w:textAlignment w:val="center"/>
      </w:pPr>
      <w:r w:rsidRPr="00355865">
        <w:t xml:space="preserve">Start date: </w:t>
      </w:r>
      <w:r w:rsidRPr="00355865">
        <w:rPr>
          <w:b/>
          <w:bCs/>
        </w:rPr>
        <w:t xml:space="preserve">Negotiable, </w:t>
      </w:r>
      <w:r w:rsidR="009C603D">
        <w:rPr>
          <w:b/>
          <w:bCs/>
        </w:rPr>
        <w:t>before</w:t>
      </w:r>
      <w:r w:rsidR="00C6374D">
        <w:rPr>
          <w:b/>
          <w:bCs/>
        </w:rPr>
        <w:t xml:space="preserve"> 8</w:t>
      </w:r>
      <w:r w:rsidR="00C6374D" w:rsidRPr="00C6374D">
        <w:rPr>
          <w:b/>
          <w:bCs/>
          <w:vertAlign w:val="superscript"/>
        </w:rPr>
        <w:t>th</w:t>
      </w:r>
      <w:r w:rsidR="00C6374D">
        <w:rPr>
          <w:b/>
          <w:bCs/>
        </w:rPr>
        <w:t xml:space="preserve"> September</w:t>
      </w:r>
      <w:r>
        <w:rPr>
          <w:b/>
          <w:bCs/>
        </w:rPr>
        <w:t xml:space="preserve"> but exceptions can be made</w:t>
      </w:r>
    </w:p>
    <w:p w14:paraId="0EB2D07F" w14:textId="77777777" w:rsidR="00367010" w:rsidRDefault="00367010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</w:p>
    <w:p w14:paraId="5DB8644A" w14:textId="77777777" w:rsidR="00367010" w:rsidRDefault="00367010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</w:p>
    <w:p w14:paraId="54E155B2" w14:textId="77777777" w:rsidR="00367010" w:rsidRDefault="00367010" w:rsidP="0049054F">
      <w:pPr>
        <w:widowControl w:val="0"/>
        <w:suppressAutoHyphens/>
        <w:autoSpaceDE w:val="0"/>
        <w:autoSpaceDN w:val="0"/>
        <w:adjustRightInd w:val="0"/>
        <w:spacing w:after="120" w:line="360" w:lineRule="auto"/>
        <w:textAlignment w:val="center"/>
      </w:pPr>
    </w:p>
    <w:sectPr w:rsidR="00367010" w:rsidSect="0066075E">
      <w:pgSz w:w="11906" w:h="16838"/>
      <w:pgMar w:top="129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3E61" w14:textId="77777777" w:rsidR="006757F3" w:rsidRDefault="006757F3">
      <w:pPr>
        <w:spacing w:after="0" w:line="240" w:lineRule="auto"/>
      </w:pPr>
      <w:r>
        <w:separator/>
      </w:r>
    </w:p>
  </w:endnote>
  <w:endnote w:type="continuationSeparator" w:id="0">
    <w:p w14:paraId="1538791A" w14:textId="77777777" w:rsidR="006757F3" w:rsidRDefault="0067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4194" w14:textId="77777777" w:rsidR="0066075E" w:rsidRDefault="0066075E" w:rsidP="00A25402">
    <w:pPr>
      <w:pStyle w:val="Footer"/>
    </w:pPr>
  </w:p>
  <w:p w14:paraId="400AA02F" w14:textId="77777777" w:rsidR="0066075E" w:rsidRDefault="0066075E" w:rsidP="00F6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5732" w14:textId="77777777" w:rsidR="006757F3" w:rsidRDefault="006757F3">
      <w:pPr>
        <w:spacing w:after="0" w:line="240" w:lineRule="auto"/>
      </w:pPr>
      <w:r>
        <w:separator/>
      </w:r>
    </w:p>
  </w:footnote>
  <w:footnote w:type="continuationSeparator" w:id="0">
    <w:p w14:paraId="7084C19E" w14:textId="77777777" w:rsidR="006757F3" w:rsidRDefault="00675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0DE"/>
    <w:multiLevelType w:val="hybridMultilevel"/>
    <w:tmpl w:val="C734AE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BB7"/>
    <w:multiLevelType w:val="hybridMultilevel"/>
    <w:tmpl w:val="96C22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90D"/>
    <w:multiLevelType w:val="multilevel"/>
    <w:tmpl w:val="422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E7858"/>
    <w:multiLevelType w:val="hybridMultilevel"/>
    <w:tmpl w:val="C332E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00FC"/>
    <w:multiLevelType w:val="hybridMultilevel"/>
    <w:tmpl w:val="5A76BBC4"/>
    <w:lvl w:ilvl="0" w:tplc="C050658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1C18"/>
    <w:multiLevelType w:val="hybridMultilevel"/>
    <w:tmpl w:val="6B9A5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4DF7"/>
    <w:multiLevelType w:val="hybridMultilevel"/>
    <w:tmpl w:val="B450E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60CA">
      <w:start w:val="9"/>
      <w:numFmt w:val="bullet"/>
      <w:lvlText w:val="•"/>
      <w:lvlJc w:val="left"/>
      <w:pPr>
        <w:ind w:left="3240" w:hanging="720"/>
      </w:pPr>
      <w:rPr>
        <w:rFonts w:ascii="Arial" w:eastAsia="Calibri" w:hAnsi="Arial" w:cs="Aria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7F87"/>
    <w:multiLevelType w:val="hybridMultilevel"/>
    <w:tmpl w:val="8234A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15DE"/>
    <w:multiLevelType w:val="hybridMultilevel"/>
    <w:tmpl w:val="3B06A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6E7"/>
    <w:multiLevelType w:val="hybridMultilevel"/>
    <w:tmpl w:val="8B4ED32C"/>
    <w:lvl w:ilvl="0" w:tplc="B8B44AF2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pStyle w:val="Allens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pStyle w:val="AllensHeading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6613"/>
    <w:multiLevelType w:val="hybridMultilevel"/>
    <w:tmpl w:val="CA72F6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91470"/>
    <w:multiLevelType w:val="hybridMultilevel"/>
    <w:tmpl w:val="2D60426A"/>
    <w:lvl w:ilvl="0" w:tplc="6DF4C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3362D"/>
    <w:multiLevelType w:val="hybridMultilevel"/>
    <w:tmpl w:val="F8B6F7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E7AE4"/>
    <w:multiLevelType w:val="multilevel"/>
    <w:tmpl w:val="30AC8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8033B2"/>
    <w:multiLevelType w:val="multilevel"/>
    <w:tmpl w:val="FBB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96EB9"/>
    <w:multiLevelType w:val="multilevel"/>
    <w:tmpl w:val="153A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395967">
    <w:abstractNumId w:val="9"/>
  </w:num>
  <w:num w:numId="2" w16cid:durableId="602955599">
    <w:abstractNumId w:val="6"/>
  </w:num>
  <w:num w:numId="3" w16cid:durableId="545607234">
    <w:abstractNumId w:val="12"/>
  </w:num>
  <w:num w:numId="4" w16cid:durableId="1253586818">
    <w:abstractNumId w:val="13"/>
  </w:num>
  <w:num w:numId="5" w16cid:durableId="1833180014">
    <w:abstractNumId w:val="0"/>
  </w:num>
  <w:num w:numId="6" w16cid:durableId="493422270">
    <w:abstractNumId w:val="15"/>
  </w:num>
  <w:num w:numId="7" w16cid:durableId="364135262">
    <w:abstractNumId w:val="11"/>
  </w:num>
  <w:num w:numId="8" w16cid:durableId="836387609">
    <w:abstractNumId w:val="10"/>
  </w:num>
  <w:num w:numId="9" w16cid:durableId="1873150336">
    <w:abstractNumId w:val="1"/>
  </w:num>
  <w:num w:numId="10" w16cid:durableId="1512570934">
    <w:abstractNumId w:val="5"/>
  </w:num>
  <w:num w:numId="11" w16cid:durableId="131489732">
    <w:abstractNumId w:val="7"/>
  </w:num>
  <w:num w:numId="12" w16cid:durableId="1523782118">
    <w:abstractNumId w:val="4"/>
  </w:num>
  <w:num w:numId="13" w16cid:durableId="414327607">
    <w:abstractNumId w:val="8"/>
  </w:num>
  <w:num w:numId="14" w16cid:durableId="386074416">
    <w:abstractNumId w:val="3"/>
  </w:num>
  <w:num w:numId="15" w16cid:durableId="1560166804">
    <w:abstractNumId w:val="2"/>
  </w:num>
  <w:num w:numId="16" w16cid:durableId="199013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5E"/>
    <w:rsid w:val="0000589A"/>
    <w:rsid w:val="00010C76"/>
    <w:rsid w:val="00080B69"/>
    <w:rsid w:val="00183BD3"/>
    <w:rsid w:val="001863A1"/>
    <w:rsid w:val="001A58A0"/>
    <w:rsid w:val="001C3077"/>
    <w:rsid w:val="002C724B"/>
    <w:rsid w:val="00337D5C"/>
    <w:rsid w:val="00367010"/>
    <w:rsid w:val="003918B3"/>
    <w:rsid w:val="0049054F"/>
    <w:rsid w:val="005001FD"/>
    <w:rsid w:val="00644B52"/>
    <w:rsid w:val="0066075E"/>
    <w:rsid w:val="006757F3"/>
    <w:rsid w:val="007D4542"/>
    <w:rsid w:val="007E19F4"/>
    <w:rsid w:val="007F2B0E"/>
    <w:rsid w:val="007F4ABD"/>
    <w:rsid w:val="00844750"/>
    <w:rsid w:val="0089064B"/>
    <w:rsid w:val="008A31B8"/>
    <w:rsid w:val="008B0601"/>
    <w:rsid w:val="008D03D7"/>
    <w:rsid w:val="009578E7"/>
    <w:rsid w:val="009C122E"/>
    <w:rsid w:val="009C603D"/>
    <w:rsid w:val="00A07321"/>
    <w:rsid w:val="00A640DF"/>
    <w:rsid w:val="00A71A01"/>
    <w:rsid w:val="00AD0FBD"/>
    <w:rsid w:val="00B76F51"/>
    <w:rsid w:val="00B91931"/>
    <w:rsid w:val="00C6374D"/>
    <w:rsid w:val="00CA0412"/>
    <w:rsid w:val="00CB4D56"/>
    <w:rsid w:val="00DA30B5"/>
    <w:rsid w:val="00EC0785"/>
    <w:rsid w:val="00ED14F5"/>
    <w:rsid w:val="00ED6E34"/>
    <w:rsid w:val="00F6555A"/>
    <w:rsid w:val="00F976BC"/>
    <w:rsid w:val="00FB0434"/>
    <w:rsid w:val="00FE2B69"/>
    <w:rsid w:val="072CF5FD"/>
    <w:rsid w:val="098E89EB"/>
    <w:rsid w:val="0E07319C"/>
    <w:rsid w:val="106C3D72"/>
    <w:rsid w:val="10A4095A"/>
    <w:rsid w:val="117087AD"/>
    <w:rsid w:val="2BCBCA3C"/>
    <w:rsid w:val="363C52CF"/>
    <w:rsid w:val="3785B6E5"/>
    <w:rsid w:val="445FAC4D"/>
    <w:rsid w:val="5597E2EA"/>
    <w:rsid w:val="563E1B4D"/>
    <w:rsid w:val="5998BF28"/>
    <w:rsid w:val="5DBAB37E"/>
    <w:rsid w:val="5DC04734"/>
    <w:rsid w:val="647DA505"/>
    <w:rsid w:val="719F5CC4"/>
    <w:rsid w:val="76398CDA"/>
    <w:rsid w:val="7865A177"/>
    <w:rsid w:val="7D6D499F"/>
    <w:rsid w:val="7E6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8A47"/>
  <w15:chartTrackingRefBased/>
  <w15:docId w15:val="{7FEB96D2-FA6A-4CB6-895C-02356BCE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5E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75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660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75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60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6075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607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6075E"/>
    <w:pPr>
      <w:spacing w:before="240"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6075E"/>
    <w:pPr>
      <w:tabs>
        <w:tab w:val="right" w:leader="dot" w:pos="9628"/>
      </w:tabs>
    </w:pPr>
    <w:rPr>
      <w:rFonts w:ascii="Roboto Slab" w:eastAsia="Calibri" w:hAnsi="Roboto Slab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075E"/>
    <w:pPr>
      <w:spacing w:after="100"/>
      <w:ind w:left="220"/>
    </w:pPr>
  </w:style>
  <w:style w:type="paragraph" w:styleId="Footer">
    <w:name w:val="footer"/>
    <w:basedOn w:val="Normal"/>
    <w:link w:val="FooterChar"/>
    <w:uiPriority w:val="99"/>
    <w:unhideWhenUsed/>
    <w:rsid w:val="00660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5E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6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075E"/>
    <w:rPr>
      <w:rFonts w:ascii="Arial" w:hAnsi="Arial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autoRedefine/>
    <w:uiPriority w:val="1"/>
    <w:qFormat/>
    <w:rsid w:val="0066075E"/>
    <w:pPr>
      <w:widowControl w:val="0"/>
      <w:spacing w:after="0" w:line="360" w:lineRule="auto"/>
      <w:ind w:left="398" w:hanging="398"/>
    </w:pPr>
    <w:rPr>
      <w:rFonts w:eastAsia="Verdana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6075E"/>
    <w:rPr>
      <w:rFonts w:ascii="Arial" w:eastAsia="Verdana" w:hAnsi="Arial"/>
      <w:kern w:val="0"/>
      <w:sz w:val="22"/>
      <w:szCs w:val="20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66075E"/>
  </w:style>
  <w:style w:type="paragraph" w:customStyle="1" w:styleId="AllensHeading4">
    <w:name w:val="Allens Heading 4"/>
    <w:basedOn w:val="Normal"/>
    <w:uiPriority w:val="1"/>
    <w:qFormat/>
    <w:rsid w:val="0066075E"/>
    <w:pPr>
      <w:numPr>
        <w:ilvl w:val="3"/>
        <w:numId w:val="1"/>
      </w:numPr>
      <w:tabs>
        <w:tab w:val="num" w:pos="2126"/>
      </w:tabs>
      <w:spacing w:before="100" w:after="0"/>
      <w:ind w:left="2126" w:hanging="708"/>
    </w:pPr>
    <w:rPr>
      <w:rFonts w:eastAsia="Times New Roman" w:cs="Times New Roman"/>
      <w:sz w:val="20"/>
      <w:szCs w:val="20"/>
    </w:rPr>
  </w:style>
  <w:style w:type="paragraph" w:customStyle="1" w:styleId="AllensHeading5">
    <w:name w:val="Allens Heading 5"/>
    <w:basedOn w:val="Normal"/>
    <w:uiPriority w:val="1"/>
    <w:qFormat/>
    <w:rsid w:val="0066075E"/>
    <w:pPr>
      <w:numPr>
        <w:ilvl w:val="4"/>
        <w:numId w:val="1"/>
      </w:numPr>
      <w:tabs>
        <w:tab w:val="num" w:pos="2835"/>
      </w:tabs>
      <w:spacing w:before="100" w:after="0"/>
      <w:ind w:left="2835" w:hanging="709"/>
    </w:pPr>
    <w:rPr>
      <w:rFonts w:eastAsia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075E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07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19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054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D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542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m@clcq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lcq.org.au/project-and-reports/2025-2030-first-nations-framewo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3BCDAAC44346A0C2307F1A368ADB" ma:contentTypeVersion="19" ma:contentTypeDescription="Create a new document." ma:contentTypeScope="" ma:versionID="51fc4a21e52f3fdd502ce7a88b96260a">
  <xsd:schema xmlns:xsd="http://www.w3.org/2001/XMLSchema" xmlns:xs="http://www.w3.org/2001/XMLSchema" xmlns:p="http://schemas.microsoft.com/office/2006/metadata/properties" xmlns:ns2="9fe8a190-a5f8-4773-adac-e0e3a19b90d9" xmlns:ns3="06c72f1e-0326-4e87-a981-e79a536aa6e5" targetNamespace="http://schemas.microsoft.com/office/2006/metadata/properties" ma:root="true" ma:fieldsID="e8e7c093db16a1fa4d511f5154f478d6" ns2:_="" ns3:_="">
    <xsd:import namespace="9fe8a190-a5f8-4773-adac-e0e3a19b90d9"/>
    <xsd:import namespace="06c72f1e-0326-4e87-a981-e79a536aa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a190-a5f8-4773-adac-e0e3a19b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3ac255-7a41-4421-89c1-6c00867ac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2f1e-0326-4e87-a981-e79a536aa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b6e13-7d42-4e84-b5bb-3aaef2fcc25a}" ma:internalName="TaxCatchAll" ma:showField="CatchAllData" ma:web="06c72f1e-0326-4e87-a981-e79a536aa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c72f1e-0326-4e87-a981-e79a536aa6e5" xsi:nil="true"/>
    <lcf76f155ced4ddcb4097134ff3c332f xmlns="9fe8a190-a5f8-4773-adac-e0e3a19b9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EDAD9-C1E3-4CE2-8C21-31ABBE714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40A2B-EB46-4C02-948D-2932C1DDE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8a190-a5f8-4773-adac-e0e3a19b90d9"/>
    <ds:schemaRef ds:uri="06c72f1e-0326-4e87-a981-e79a536a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A5ED6-EE09-4C8F-A5DE-163B4843B412}">
  <ds:schemaRefs>
    <ds:schemaRef ds:uri="http://schemas.microsoft.com/office/2006/metadata/properties"/>
    <ds:schemaRef ds:uri="http://schemas.microsoft.com/office/infopath/2007/PartnerControls"/>
    <ds:schemaRef ds:uri="06c72f1e-0326-4e87-a981-e79a536aa6e5"/>
    <ds:schemaRef ds:uri="9fe8a190-a5f8-4773-adac-e0e3a19b9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5109</Characters>
  <Application>Microsoft Office Word</Application>
  <DocSecurity>0</DocSecurity>
  <Lines>116</Lines>
  <Paragraphs>65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Cooper</dc:creator>
  <cp:keywords/>
  <dc:description/>
  <cp:lastModifiedBy>Rosslyn Monro</cp:lastModifiedBy>
  <cp:revision>5</cp:revision>
  <dcterms:created xsi:type="dcterms:W3CDTF">2026-07-01T00:58:00Z</dcterms:created>
  <dcterms:modified xsi:type="dcterms:W3CDTF">2026-07-01T01:01:00Z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0x01010004213BCDAAC44346A0C2307F1A368ADB</vt:lpwstr>
  </property>
  <property fmtid="{D5CDD505-2E9C-101B-9397-08002B2CF9AE}" pid="3" name="MediaServiceImageTags">
    <vt:lpwstr/>
  </property>
</Properties>
</file>