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B677EA" w14:textId="77777777" w:rsidR="0072478D" w:rsidRDefault="00000000">
      <w:pPr>
        <w:jc w:val="center"/>
      </w:pPr>
      <w:r>
        <w:rPr>
          <w:rFonts w:ascii="Arial" w:hAnsi="Arial"/>
          <w:b/>
          <w:color w:val="003B5C"/>
          <w:sz w:val="30"/>
        </w:rPr>
        <w:t>JOB DESCRIPTION</w:t>
      </w:r>
    </w:p>
    <w:p w14:paraId="7C231FD9" w14:textId="77777777" w:rsidR="0072478D" w:rsidRDefault="00000000">
      <w:pPr>
        <w:jc w:val="center"/>
      </w:pPr>
      <w:r>
        <w:rPr>
          <w:rFonts w:ascii="Arial" w:hAnsi="Arial"/>
          <w:b/>
          <w:sz w:val="26"/>
        </w:rPr>
        <w:t>Impartiality Committee</w:t>
      </w:r>
    </w:p>
    <w:p w14:paraId="6A89D1D9" w14:textId="77777777" w:rsidR="0072478D" w:rsidRDefault="0072478D">
      <w:pPr>
        <w:pBdr>
          <w:bottom w:val="single" w:sz="8" w:space="1" w:color="B00020"/>
        </w:pBdr>
        <w:spacing w:before="40" w:after="80"/>
      </w:pPr>
    </w:p>
    <w:tbl>
      <w:tblPr>
        <w:tblStyle w:val="TableGrid"/>
        <w:tblW w:w="0" w:type="auto"/>
        <w:jc w:val="center"/>
        <w:tblLook w:val="04A0" w:firstRow="1" w:lastRow="0" w:firstColumn="1" w:lastColumn="0" w:noHBand="0" w:noVBand="1"/>
      </w:tblPr>
      <w:tblGrid>
        <w:gridCol w:w="1979"/>
        <w:gridCol w:w="3254"/>
        <w:gridCol w:w="1839"/>
        <w:gridCol w:w="2952"/>
      </w:tblGrid>
      <w:tr w:rsidR="0072478D" w14:paraId="0684ACD2" w14:textId="77777777">
        <w:trPr>
          <w:jc w:val="center"/>
        </w:trPr>
        <w:tc>
          <w:tcPr>
            <w:tcW w:w="2088" w:type="dxa"/>
            <w:shd w:val="clear" w:color="auto" w:fill="EAF3F8"/>
          </w:tcPr>
          <w:p w14:paraId="44446226" w14:textId="77777777" w:rsidR="0072478D" w:rsidRDefault="00000000">
            <w:r>
              <w:rPr>
                <w:rFonts w:ascii="Arial" w:hAnsi="Arial"/>
                <w:b/>
                <w:color w:val="003B5C"/>
                <w:sz w:val="16"/>
              </w:rPr>
              <w:t>Job No</w:t>
            </w:r>
          </w:p>
        </w:tc>
        <w:tc>
          <w:tcPr>
            <w:tcW w:w="3528" w:type="dxa"/>
          </w:tcPr>
          <w:p w14:paraId="0E76305D" w14:textId="77777777" w:rsidR="0072478D" w:rsidRDefault="00000000">
            <w:r>
              <w:rPr>
                <w:rFonts w:ascii="Arial" w:hAnsi="Arial"/>
                <w:sz w:val="16"/>
              </w:rPr>
              <w:t>8</w:t>
            </w:r>
          </w:p>
        </w:tc>
        <w:tc>
          <w:tcPr>
            <w:tcW w:w="1944" w:type="dxa"/>
            <w:shd w:val="clear" w:color="auto" w:fill="EAF3F8"/>
          </w:tcPr>
          <w:p w14:paraId="672A0A1E" w14:textId="77777777" w:rsidR="0072478D" w:rsidRDefault="00000000">
            <w:r>
              <w:rPr>
                <w:rFonts w:ascii="Arial" w:hAnsi="Arial"/>
                <w:b/>
                <w:color w:val="003B5C"/>
                <w:sz w:val="16"/>
              </w:rPr>
              <w:t>Document Code</w:t>
            </w:r>
          </w:p>
        </w:tc>
        <w:tc>
          <w:tcPr>
            <w:tcW w:w="3240" w:type="dxa"/>
          </w:tcPr>
          <w:p w14:paraId="52D312CA" w14:textId="77777777" w:rsidR="0072478D" w:rsidRDefault="00000000">
            <w:r>
              <w:rPr>
                <w:rFonts w:ascii="Arial" w:hAnsi="Arial"/>
                <w:sz w:val="16"/>
              </w:rPr>
              <w:t>F-IC-JD</w:t>
            </w:r>
          </w:p>
        </w:tc>
      </w:tr>
      <w:tr w:rsidR="0072478D" w14:paraId="635D0648" w14:textId="77777777">
        <w:trPr>
          <w:jc w:val="center"/>
        </w:trPr>
        <w:tc>
          <w:tcPr>
            <w:tcW w:w="2088" w:type="dxa"/>
            <w:shd w:val="clear" w:color="auto" w:fill="EAF3F8"/>
          </w:tcPr>
          <w:p w14:paraId="2AE6BB2C" w14:textId="77777777" w:rsidR="0072478D" w:rsidRDefault="00000000">
            <w:r>
              <w:rPr>
                <w:rFonts w:ascii="Arial" w:hAnsi="Arial"/>
                <w:b/>
                <w:color w:val="003B5C"/>
                <w:sz w:val="16"/>
              </w:rPr>
              <w:t>Job Title</w:t>
            </w:r>
          </w:p>
        </w:tc>
        <w:tc>
          <w:tcPr>
            <w:tcW w:w="3528" w:type="dxa"/>
            <w:shd w:val="clear" w:color="auto" w:fill="F2F2F2"/>
          </w:tcPr>
          <w:p w14:paraId="70A75A60" w14:textId="77777777" w:rsidR="0072478D" w:rsidRDefault="00000000">
            <w:r>
              <w:rPr>
                <w:rFonts w:ascii="Arial" w:hAnsi="Arial"/>
                <w:sz w:val="16"/>
              </w:rPr>
              <w:t>Impartiality Committee Member / Chair</w:t>
            </w:r>
          </w:p>
        </w:tc>
        <w:tc>
          <w:tcPr>
            <w:tcW w:w="1944" w:type="dxa"/>
            <w:shd w:val="clear" w:color="auto" w:fill="EAF3F8"/>
          </w:tcPr>
          <w:p w14:paraId="5F431B72" w14:textId="77777777" w:rsidR="0072478D" w:rsidRDefault="00000000">
            <w:r>
              <w:rPr>
                <w:rFonts w:ascii="Arial" w:hAnsi="Arial"/>
                <w:b/>
                <w:color w:val="003B5C"/>
                <w:sz w:val="16"/>
              </w:rPr>
              <w:t>Revision</w:t>
            </w:r>
          </w:p>
        </w:tc>
        <w:tc>
          <w:tcPr>
            <w:tcW w:w="3240" w:type="dxa"/>
            <w:shd w:val="clear" w:color="auto" w:fill="F2F2F2"/>
          </w:tcPr>
          <w:p w14:paraId="2C80C6F2" w14:textId="77777777" w:rsidR="0072478D" w:rsidRDefault="00000000">
            <w:r>
              <w:rPr>
                <w:rFonts w:ascii="Arial" w:hAnsi="Arial"/>
                <w:sz w:val="16"/>
              </w:rPr>
              <w:t>03</w:t>
            </w:r>
          </w:p>
        </w:tc>
      </w:tr>
      <w:tr w:rsidR="0072478D" w14:paraId="0B98F6D0" w14:textId="77777777">
        <w:trPr>
          <w:jc w:val="center"/>
        </w:trPr>
        <w:tc>
          <w:tcPr>
            <w:tcW w:w="2088" w:type="dxa"/>
            <w:shd w:val="clear" w:color="auto" w:fill="EAF3F8"/>
          </w:tcPr>
          <w:p w14:paraId="02C6E63B" w14:textId="77777777" w:rsidR="0072478D" w:rsidRDefault="00000000">
            <w:r>
              <w:rPr>
                <w:rFonts w:ascii="Arial" w:hAnsi="Arial"/>
                <w:b/>
                <w:color w:val="003B5C"/>
                <w:sz w:val="16"/>
              </w:rPr>
              <w:t>Reports To</w:t>
            </w:r>
          </w:p>
        </w:tc>
        <w:tc>
          <w:tcPr>
            <w:tcW w:w="3528" w:type="dxa"/>
          </w:tcPr>
          <w:p w14:paraId="237B1265" w14:textId="77777777" w:rsidR="0072478D" w:rsidRDefault="00000000">
            <w:r>
              <w:rPr>
                <w:rFonts w:ascii="Arial" w:hAnsi="Arial"/>
                <w:sz w:val="16"/>
              </w:rPr>
              <w:t>Top Management / Company Governance Structure</w:t>
            </w:r>
          </w:p>
        </w:tc>
        <w:tc>
          <w:tcPr>
            <w:tcW w:w="1944" w:type="dxa"/>
            <w:shd w:val="clear" w:color="auto" w:fill="EAF3F8"/>
          </w:tcPr>
          <w:p w14:paraId="437D5F92" w14:textId="77777777" w:rsidR="0072478D" w:rsidRDefault="00000000">
            <w:r>
              <w:rPr>
                <w:rFonts w:ascii="Arial" w:hAnsi="Arial"/>
                <w:b/>
                <w:color w:val="003B5C"/>
                <w:sz w:val="16"/>
              </w:rPr>
              <w:t>Document Date</w:t>
            </w:r>
          </w:p>
        </w:tc>
        <w:tc>
          <w:tcPr>
            <w:tcW w:w="3240" w:type="dxa"/>
          </w:tcPr>
          <w:p w14:paraId="3BC83B55" w14:textId="77777777" w:rsidR="0072478D" w:rsidRDefault="00000000">
            <w:r>
              <w:rPr>
                <w:rFonts w:ascii="Arial" w:hAnsi="Arial"/>
                <w:sz w:val="16"/>
              </w:rPr>
              <w:t>20/06/2026</w:t>
            </w:r>
          </w:p>
        </w:tc>
      </w:tr>
      <w:tr w:rsidR="0072478D" w14:paraId="4DCB5DF7" w14:textId="77777777">
        <w:trPr>
          <w:jc w:val="center"/>
        </w:trPr>
        <w:tc>
          <w:tcPr>
            <w:tcW w:w="2088" w:type="dxa"/>
            <w:shd w:val="clear" w:color="auto" w:fill="EAF3F8"/>
          </w:tcPr>
          <w:p w14:paraId="06412F41" w14:textId="77777777" w:rsidR="0072478D" w:rsidRDefault="00000000">
            <w:r>
              <w:rPr>
                <w:rFonts w:ascii="Arial" w:hAnsi="Arial"/>
                <w:b/>
                <w:color w:val="003B5C"/>
                <w:sz w:val="16"/>
              </w:rPr>
              <w:t>Department / Function</w:t>
            </w:r>
          </w:p>
        </w:tc>
        <w:tc>
          <w:tcPr>
            <w:tcW w:w="3528" w:type="dxa"/>
            <w:shd w:val="clear" w:color="auto" w:fill="F2F2F2"/>
          </w:tcPr>
          <w:p w14:paraId="0DBE921B" w14:textId="77777777" w:rsidR="0072478D" w:rsidRDefault="00000000">
            <w:r>
              <w:rPr>
                <w:rFonts w:ascii="Arial" w:hAnsi="Arial"/>
                <w:sz w:val="16"/>
              </w:rPr>
              <w:t>Governance / Impartiality Oversight / Certification Integrity</w:t>
            </w:r>
          </w:p>
        </w:tc>
        <w:tc>
          <w:tcPr>
            <w:tcW w:w="1944" w:type="dxa"/>
            <w:shd w:val="clear" w:color="auto" w:fill="EAF3F8"/>
          </w:tcPr>
          <w:p w14:paraId="62F7BFD7" w14:textId="77777777" w:rsidR="0072478D" w:rsidRDefault="00000000">
            <w:r>
              <w:rPr>
                <w:rFonts w:ascii="Arial" w:hAnsi="Arial"/>
                <w:b/>
                <w:color w:val="003B5C"/>
                <w:sz w:val="16"/>
              </w:rPr>
              <w:t>Employment Type</w:t>
            </w:r>
          </w:p>
        </w:tc>
        <w:tc>
          <w:tcPr>
            <w:tcW w:w="3240" w:type="dxa"/>
            <w:shd w:val="clear" w:color="auto" w:fill="F2F2F2"/>
          </w:tcPr>
          <w:p w14:paraId="5587977C" w14:textId="77777777" w:rsidR="0072478D" w:rsidRDefault="00000000">
            <w:r>
              <w:rPr>
                <w:rFonts w:ascii="Arial" w:hAnsi="Arial"/>
                <w:sz w:val="16"/>
              </w:rPr>
              <w:t>External or internal committee appointment</w:t>
            </w:r>
          </w:p>
        </w:tc>
      </w:tr>
      <w:tr w:rsidR="0072478D" w14:paraId="532A2695" w14:textId="77777777">
        <w:trPr>
          <w:jc w:val="center"/>
        </w:trPr>
        <w:tc>
          <w:tcPr>
            <w:tcW w:w="2088" w:type="dxa"/>
            <w:shd w:val="clear" w:color="auto" w:fill="EAF3F8"/>
          </w:tcPr>
          <w:p w14:paraId="0DE0B87B" w14:textId="77777777" w:rsidR="0072478D" w:rsidRDefault="00000000">
            <w:r>
              <w:rPr>
                <w:rFonts w:ascii="Arial" w:hAnsi="Arial"/>
                <w:b/>
                <w:color w:val="003B5C"/>
                <w:sz w:val="16"/>
              </w:rPr>
              <w:t>Source Basis</w:t>
            </w:r>
          </w:p>
        </w:tc>
        <w:tc>
          <w:tcPr>
            <w:tcW w:w="3528" w:type="dxa"/>
          </w:tcPr>
          <w:p w14:paraId="011201CE" w14:textId="77777777" w:rsidR="0072478D" w:rsidRDefault="00000000">
            <w:r>
              <w:rPr>
                <w:rFonts w:ascii="Arial" w:hAnsi="Arial"/>
                <w:sz w:val="16"/>
              </w:rPr>
              <w:t>NDIS Commission regulatory expectations, AQA Scheme Guidelines, AQA Code of Conduct, ISO/IEC 17065 and JAS-ANZ requirements</w:t>
            </w:r>
          </w:p>
        </w:tc>
        <w:tc>
          <w:tcPr>
            <w:tcW w:w="1944" w:type="dxa"/>
            <w:shd w:val="clear" w:color="auto" w:fill="EAF3F8"/>
          </w:tcPr>
          <w:p w14:paraId="2ADBFB60" w14:textId="77777777" w:rsidR="0072478D" w:rsidRDefault="00000000">
            <w:r>
              <w:rPr>
                <w:rFonts w:ascii="Arial" w:hAnsi="Arial"/>
                <w:b/>
                <w:color w:val="003B5C"/>
                <w:sz w:val="16"/>
              </w:rPr>
              <w:t>Supersedes</w:t>
            </w:r>
          </w:p>
        </w:tc>
        <w:tc>
          <w:tcPr>
            <w:tcW w:w="3240" w:type="dxa"/>
          </w:tcPr>
          <w:p w14:paraId="54476CEA" w14:textId="77777777" w:rsidR="0072478D" w:rsidRDefault="00000000">
            <w:r>
              <w:rPr>
                <w:rFonts w:ascii="Arial" w:hAnsi="Arial"/>
                <w:sz w:val="16"/>
              </w:rPr>
              <w:t>Rev 02 dated 17/06/2026 and earlier descriptions</w:t>
            </w:r>
          </w:p>
        </w:tc>
      </w:tr>
      <w:tr w:rsidR="0072478D" w14:paraId="4FB6B1C8" w14:textId="77777777">
        <w:trPr>
          <w:jc w:val="center"/>
        </w:trPr>
        <w:tc>
          <w:tcPr>
            <w:tcW w:w="2088" w:type="dxa"/>
            <w:shd w:val="clear" w:color="auto" w:fill="EAF3F8"/>
          </w:tcPr>
          <w:p w14:paraId="131714EC" w14:textId="77777777" w:rsidR="0072478D" w:rsidRDefault="00000000">
            <w:r>
              <w:rPr>
                <w:rFonts w:ascii="Arial" w:hAnsi="Arial"/>
                <w:b/>
                <w:color w:val="003B5C"/>
                <w:sz w:val="16"/>
              </w:rPr>
              <w:t>Supervisory Scope</w:t>
            </w:r>
          </w:p>
        </w:tc>
        <w:tc>
          <w:tcPr>
            <w:tcW w:w="3528" w:type="dxa"/>
            <w:shd w:val="clear" w:color="auto" w:fill="F2F2F2"/>
          </w:tcPr>
          <w:p w14:paraId="778A5FB2" w14:textId="77777777" w:rsidR="0072478D" w:rsidRDefault="00000000">
            <w:r>
              <w:rPr>
                <w:rFonts w:ascii="Arial" w:hAnsi="Arial"/>
                <w:sz w:val="16"/>
              </w:rPr>
              <w:t>Committee role. No direct line management responsibility. Provides independent oversight, review, challenge and recommendations.</w:t>
            </w:r>
          </w:p>
        </w:tc>
        <w:tc>
          <w:tcPr>
            <w:tcW w:w="1944" w:type="dxa"/>
            <w:shd w:val="clear" w:color="auto" w:fill="EAF3F8"/>
          </w:tcPr>
          <w:p w14:paraId="12863830" w14:textId="77777777" w:rsidR="0072478D" w:rsidRDefault="00000000">
            <w:r>
              <w:rPr>
                <w:rFonts w:ascii="Arial" w:hAnsi="Arial"/>
                <w:b/>
                <w:color w:val="003B5C"/>
                <w:sz w:val="16"/>
              </w:rPr>
              <w:t>Committee Status</w:t>
            </w:r>
          </w:p>
        </w:tc>
        <w:tc>
          <w:tcPr>
            <w:tcW w:w="3240" w:type="dxa"/>
            <w:shd w:val="clear" w:color="auto" w:fill="F2F2F2"/>
          </w:tcPr>
          <w:p w14:paraId="42263B1D" w14:textId="77777777" w:rsidR="0072478D" w:rsidRDefault="00000000">
            <w:r>
              <w:rPr>
                <w:rFonts w:ascii="Arial" w:hAnsi="Arial"/>
                <w:sz w:val="16"/>
              </w:rPr>
              <w:t>Standing impartiality mechanism / equivalent governance mechanism</w:t>
            </w:r>
          </w:p>
        </w:tc>
      </w:tr>
      <w:tr w:rsidR="0072478D" w14:paraId="46AD1764" w14:textId="77777777">
        <w:trPr>
          <w:jc w:val="center"/>
        </w:trPr>
        <w:tc>
          <w:tcPr>
            <w:tcW w:w="2088" w:type="dxa"/>
            <w:shd w:val="clear" w:color="auto" w:fill="EAF3F8"/>
          </w:tcPr>
          <w:p w14:paraId="2ECF353A" w14:textId="77777777" w:rsidR="0072478D" w:rsidRDefault="00000000">
            <w:r>
              <w:rPr>
                <w:rFonts w:ascii="Arial" w:hAnsi="Arial"/>
                <w:b/>
                <w:color w:val="003B5C"/>
                <w:sz w:val="16"/>
              </w:rPr>
              <w:t>Authority Type</w:t>
            </w:r>
          </w:p>
        </w:tc>
        <w:tc>
          <w:tcPr>
            <w:tcW w:w="3528" w:type="dxa"/>
          </w:tcPr>
          <w:p w14:paraId="5E39B74D" w14:textId="77777777" w:rsidR="0072478D" w:rsidRDefault="00000000">
            <w:r>
              <w:rPr>
                <w:rFonts w:ascii="Arial" w:hAnsi="Arial"/>
                <w:sz w:val="16"/>
              </w:rPr>
              <w:t>Oversight, advice, recommendation, escalation and governance review</w:t>
            </w:r>
          </w:p>
        </w:tc>
        <w:tc>
          <w:tcPr>
            <w:tcW w:w="1944" w:type="dxa"/>
            <w:shd w:val="clear" w:color="auto" w:fill="EAF3F8"/>
          </w:tcPr>
          <w:p w14:paraId="6739FEE1" w14:textId="77777777" w:rsidR="0072478D" w:rsidRDefault="00000000">
            <w:r>
              <w:rPr>
                <w:rFonts w:ascii="Arial" w:hAnsi="Arial"/>
                <w:b/>
                <w:color w:val="003B5C"/>
                <w:sz w:val="16"/>
              </w:rPr>
              <w:t>Decision Type</w:t>
            </w:r>
          </w:p>
        </w:tc>
        <w:tc>
          <w:tcPr>
            <w:tcW w:w="3240" w:type="dxa"/>
          </w:tcPr>
          <w:p w14:paraId="36F3EBE2" w14:textId="77777777" w:rsidR="0072478D" w:rsidRDefault="00000000">
            <w:r>
              <w:rPr>
                <w:rFonts w:ascii="Arial" w:hAnsi="Arial"/>
                <w:sz w:val="16"/>
              </w:rPr>
              <w:t>No certification decision-making unless separately authorised, competent and independent</w:t>
            </w:r>
          </w:p>
        </w:tc>
      </w:tr>
      <w:tr w:rsidR="0072478D" w14:paraId="51ED2972" w14:textId="77777777">
        <w:trPr>
          <w:jc w:val="center"/>
        </w:trPr>
        <w:tc>
          <w:tcPr>
            <w:tcW w:w="2088" w:type="dxa"/>
            <w:shd w:val="clear" w:color="auto" w:fill="EAF3F8"/>
          </w:tcPr>
          <w:p w14:paraId="79672C72" w14:textId="77777777" w:rsidR="0072478D" w:rsidRDefault="00000000">
            <w:r>
              <w:rPr>
                <w:rFonts w:ascii="Arial" w:hAnsi="Arial"/>
                <w:b/>
                <w:color w:val="003B5C"/>
                <w:sz w:val="16"/>
              </w:rPr>
              <w:t>Primary Alternate / Backup</w:t>
            </w:r>
          </w:p>
        </w:tc>
        <w:tc>
          <w:tcPr>
            <w:tcW w:w="3528" w:type="dxa"/>
            <w:shd w:val="clear" w:color="auto" w:fill="F2F2F2"/>
          </w:tcPr>
          <w:p w14:paraId="0620F872" w14:textId="77777777" w:rsidR="0072478D" w:rsidRDefault="00000000">
            <w:r>
              <w:rPr>
                <w:rFonts w:ascii="Arial" w:hAnsi="Arial"/>
                <w:sz w:val="16"/>
              </w:rPr>
              <w:t>As appointed by Top Management / Company Governance arrangements</w:t>
            </w:r>
          </w:p>
        </w:tc>
        <w:tc>
          <w:tcPr>
            <w:tcW w:w="1944" w:type="dxa"/>
            <w:shd w:val="clear" w:color="auto" w:fill="EAF3F8"/>
          </w:tcPr>
          <w:p w14:paraId="39E7D799" w14:textId="77777777" w:rsidR="0072478D" w:rsidRDefault="00000000">
            <w:r>
              <w:rPr>
                <w:rFonts w:ascii="Arial" w:hAnsi="Arial"/>
                <w:b/>
                <w:color w:val="003B5C"/>
                <w:sz w:val="16"/>
              </w:rPr>
              <w:t>Meeting Frequency</w:t>
            </w:r>
          </w:p>
        </w:tc>
        <w:tc>
          <w:tcPr>
            <w:tcW w:w="3240" w:type="dxa"/>
            <w:shd w:val="clear" w:color="auto" w:fill="F2F2F2"/>
          </w:tcPr>
          <w:p w14:paraId="0E46EC8A" w14:textId="77777777" w:rsidR="0072478D" w:rsidRDefault="00000000">
            <w:r>
              <w:rPr>
                <w:rFonts w:ascii="Arial" w:hAnsi="Arial"/>
                <w:sz w:val="16"/>
              </w:rPr>
              <w:t>At least annually and additionally when material risks arise</w:t>
            </w:r>
          </w:p>
        </w:tc>
      </w:tr>
      <w:tr w:rsidR="0072478D" w14:paraId="42C439B8" w14:textId="77777777">
        <w:trPr>
          <w:jc w:val="center"/>
        </w:trPr>
        <w:tc>
          <w:tcPr>
            <w:tcW w:w="2088" w:type="dxa"/>
            <w:shd w:val="clear" w:color="auto" w:fill="EAF3F8"/>
          </w:tcPr>
          <w:p w14:paraId="125BE6EA" w14:textId="77777777" w:rsidR="0072478D" w:rsidRDefault="00000000">
            <w:r>
              <w:rPr>
                <w:rFonts w:ascii="Arial" w:hAnsi="Arial"/>
                <w:b/>
                <w:color w:val="003B5C"/>
                <w:sz w:val="16"/>
              </w:rPr>
              <w:t>Independence Requirement</w:t>
            </w:r>
          </w:p>
        </w:tc>
        <w:tc>
          <w:tcPr>
            <w:tcW w:w="3528" w:type="dxa"/>
          </w:tcPr>
          <w:p w14:paraId="6AB65315" w14:textId="77777777" w:rsidR="0072478D" w:rsidRDefault="00000000">
            <w:r>
              <w:rPr>
                <w:rFonts w:ascii="Arial" w:hAnsi="Arial"/>
                <w:sz w:val="16"/>
              </w:rPr>
              <w:t>Members must be independent, objective and free from unmanaged actual or perceived conflicts.</w:t>
            </w:r>
          </w:p>
        </w:tc>
        <w:tc>
          <w:tcPr>
            <w:tcW w:w="1944" w:type="dxa"/>
            <w:shd w:val="clear" w:color="auto" w:fill="EAF3F8"/>
          </w:tcPr>
          <w:p w14:paraId="6F9E2FAE" w14:textId="77777777" w:rsidR="0072478D" w:rsidRDefault="00000000">
            <w:r>
              <w:rPr>
                <w:rFonts w:ascii="Arial" w:hAnsi="Arial"/>
                <w:b/>
                <w:color w:val="003B5C"/>
                <w:sz w:val="16"/>
              </w:rPr>
              <w:t>Conflict Declaration</w:t>
            </w:r>
          </w:p>
        </w:tc>
        <w:tc>
          <w:tcPr>
            <w:tcW w:w="3240" w:type="dxa"/>
          </w:tcPr>
          <w:p w14:paraId="22982B5C" w14:textId="77777777" w:rsidR="0072478D" w:rsidRDefault="00000000">
            <w:r>
              <w:rPr>
                <w:rFonts w:ascii="Arial" w:hAnsi="Arial"/>
                <w:sz w:val="16"/>
              </w:rPr>
              <w:t>On appointment, annually and at each relevant meeting</w:t>
            </w:r>
          </w:p>
        </w:tc>
      </w:tr>
      <w:tr w:rsidR="0072478D" w14:paraId="0AFD1F98" w14:textId="77777777">
        <w:trPr>
          <w:jc w:val="center"/>
        </w:trPr>
        <w:tc>
          <w:tcPr>
            <w:tcW w:w="2088" w:type="dxa"/>
            <w:shd w:val="clear" w:color="auto" w:fill="EAF3F8"/>
          </w:tcPr>
          <w:p w14:paraId="7CE724C0" w14:textId="77777777" w:rsidR="0072478D" w:rsidRDefault="00000000">
            <w:r>
              <w:rPr>
                <w:rFonts w:ascii="Arial" w:hAnsi="Arial"/>
                <w:b/>
                <w:color w:val="003B5C"/>
                <w:sz w:val="16"/>
              </w:rPr>
              <w:t>Document Owner</w:t>
            </w:r>
          </w:p>
        </w:tc>
        <w:tc>
          <w:tcPr>
            <w:tcW w:w="3528" w:type="dxa"/>
            <w:shd w:val="clear" w:color="auto" w:fill="F2F2F2"/>
          </w:tcPr>
          <w:p w14:paraId="4A79E2F2" w14:textId="77777777" w:rsidR="0072478D" w:rsidRDefault="00000000">
            <w:r>
              <w:rPr>
                <w:rFonts w:ascii="Arial" w:hAnsi="Arial"/>
                <w:sz w:val="16"/>
              </w:rPr>
              <w:t>Certification Specialist - Technical / Business Administration Manager</w:t>
            </w:r>
          </w:p>
        </w:tc>
        <w:tc>
          <w:tcPr>
            <w:tcW w:w="1944" w:type="dxa"/>
            <w:shd w:val="clear" w:color="auto" w:fill="EAF3F8"/>
          </w:tcPr>
          <w:p w14:paraId="410427DE" w14:textId="77777777" w:rsidR="0072478D" w:rsidRDefault="00000000">
            <w:r>
              <w:rPr>
                <w:rFonts w:ascii="Arial" w:hAnsi="Arial"/>
                <w:b/>
                <w:color w:val="003B5C"/>
                <w:sz w:val="16"/>
              </w:rPr>
              <w:t>Next Review</w:t>
            </w:r>
          </w:p>
        </w:tc>
        <w:tc>
          <w:tcPr>
            <w:tcW w:w="3240" w:type="dxa"/>
            <w:shd w:val="clear" w:color="auto" w:fill="F2F2F2"/>
          </w:tcPr>
          <w:p w14:paraId="577A5433" w14:textId="77777777" w:rsidR="0072478D" w:rsidRDefault="00000000">
            <w:r>
              <w:rPr>
                <w:rFonts w:ascii="Arial" w:hAnsi="Arial"/>
                <w:sz w:val="16"/>
              </w:rPr>
              <w:t>Annual or upon regulatory change</w:t>
            </w:r>
          </w:p>
        </w:tc>
      </w:tr>
    </w:tbl>
    <w:p w14:paraId="2BB1AF62" w14:textId="77777777" w:rsidR="0072478D" w:rsidRDefault="00000000">
      <w:pPr>
        <w:pStyle w:val="Heading1"/>
      </w:pPr>
      <w:r>
        <w:rPr>
          <w:rFonts w:ascii="Arial" w:hAnsi="Arial"/>
          <w:color w:val="003B5C"/>
          <w:sz w:val="28"/>
        </w:rPr>
        <w:t>1. Role Purpose</w:t>
      </w:r>
    </w:p>
    <w:p w14:paraId="5AA22009" w14:textId="77777777" w:rsidR="0072478D" w:rsidRDefault="00000000">
      <w:r>
        <w:rPr>
          <w:rFonts w:ascii="Arial" w:hAnsi="Arial"/>
        </w:rPr>
        <w:t>The Impartiality Committee provides independent oversight of Australian QC’s impartiality mechanism and supports confidence in the fairness, objectivity, independence and integrity of certification activities.</w:t>
      </w:r>
    </w:p>
    <w:p w14:paraId="18B3E685" w14:textId="77777777" w:rsidR="0072478D" w:rsidRDefault="00000000">
      <w:r>
        <w:rPr>
          <w:rFonts w:ascii="Arial" w:hAnsi="Arial"/>
        </w:rPr>
        <w:t>For NDIS AQA activities, the Committee specifically oversees risks arising from consultant relationships, referral-source relationships, commercial arrangements, gifts and benefits, auditor external interests, conflicts of interest, public claims, complaints and appeals involving impartiality, and structural separation between audit activities, review and certification decision-making.</w:t>
      </w:r>
    </w:p>
    <w:p w14:paraId="489F2959" w14:textId="77777777" w:rsidR="0072478D" w:rsidRDefault="00000000">
      <w:r>
        <w:rPr>
          <w:rFonts w:ascii="Arial" w:hAnsi="Arial"/>
        </w:rPr>
        <w:t>The Committee exists to strengthen impartiality safeguards and public confidence. It does not conduct audits, provide consultancy, sell services, manage client relationships or make certification decisions unless a separate, documented, competent and impartial function has been formally authorised.</w:t>
      </w:r>
    </w:p>
    <w:p w14:paraId="1D021B8B" w14:textId="77777777" w:rsidR="0072478D" w:rsidRDefault="00000000">
      <w:pPr>
        <w:pStyle w:val="Heading1"/>
      </w:pPr>
      <w:r>
        <w:rPr>
          <w:rFonts w:ascii="Arial" w:hAnsi="Arial"/>
          <w:color w:val="003B5C"/>
          <w:sz w:val="28"/>
        </w:rPr>
        <w:t>2. NDIS AQA, JAS-ANZ and ISO/IEC 17065 Context</w:t>
      </w:r>
    </w:p>
    <w:p w14:paraId="74E75FA9" w14:textId="77777777" w:rsidR="0072478D" w:rsidRDefault="00000000">
      <w:r>
        <w:rPr>
          <w:rFonts w:ascii="Arial" w:hAnsi="Arial"/>
        </w:rPr>
        <w:t>Australian QC operates as a JAS-ANZ accredited conformity assessment body and NDIS approved quality auditor. The Committee supports Australian QC’s obligation to ensure that certification activities are, and are seen to be, independent of consultancy, referral influence and commercial pressure.</w:t>
      </w:r>
    </w:p>
    <w:p w14:paraId="6B4DD120" w14:textId="77777777" w:rsidR="0072478D" w:rsidRDefault="00000000">
      <w:r>
        <w:rPr>
          <w:rFonts w:ascii="Arial" w:hAnsi="Arial"/>
        </w:rPr>
        <w:t>The Committee role is informed by the AQA Scheme Guidelines, including the AQA Code of Conduct, the NDIS Commission’s current expectations for AQAs on impartiality, independence and conflicts of interest, ISO/IEC 17065 requirements for impartiality and mechanisms for safeguarding impartiality, and applicable JAS-ANZ accreditation expectations.</w:t>
      </w:r>
    </w:p>
    <w:p w14:paraId="235CA6D9" w14:textId="77777777" w:rsidR="0072478D" w:rsidRDefault="00000000">
      <w:pPr>
        <w:pStyle w:val="ListBullet"/>
      </w:pPr>
      <w:r>
        <w:rPr>
          <w:rFonts w:ascii="Arial" w:hAnsi="Arial"/>
        </w:rPr>
        <w:t>Impartiality risks must be identified, assessed, managed, documented, monitored and reviewed.</w:t>
      </w:r>
    </w:p>
    <w:p w14:paraId="34798DCD" w14:textId="77777777" w:rsidR="0072478D" w:rsidRDefault="00000000">
      <w:pPr>
        <w:pStyle w:val="ListBullet"/>
      </w:pPr>
      <w:r>
        <w:rPr>
          <w:rFonts w:ascii="Arial" w:hAnsi="Arial"/>
        </w:rPr>
        <w:t>Actual and perceived conflicts must be declared, assessed, controlled and, where necessary, avoided.</w:t>
      </w:r>
    </w:p>
    <w:p w14:paraId="3641C970" w14:textId="77777777" w:rsidR="0072478D" w:rsidRDefault="00000000">
      <w:pPr>
        <w:pStyle w:val="ListBullet"/>
      </w:pPr>
      <w:r>
        <w:rPr>
          <w:rFonts w:ascii="Arial" w:hAnsi="Arial"/>
        </w:rPr>
        <w:t>Certification activities must be protected from consultancy, financial, commercial, referral, personal or organisational influence.</w:t>
      </w:r>
    </w:p>
    <w:p w14:paraId="14D9B0F8" w14:textId="77777777" w:rsidR="0072478D" w:rsidRDefault="00000000">
      <w:pPr>
        <w:pStyle w:val="ListBullet"/>
      </w:pPr>
      <w:r>
        <w:rPr>
          <w:rFonts w:ascii="Arial" w:hAnsi="Arial"/>
        </w:rPr>
        <w:t>Registers, risk assessments, committee deliberations, decisions and management responses must be retained as evidence.</w:t>
      </w:r>
    </w:p>
    <w:p w14:paraId="7E66E76B" w14:textId="77777777" w:rsidR="0072478D" w:rsidRDefault="00000000">
      <w:pPr>
        <w:pStyle w:val="ListBullet"/>
      </w:pPr>
      <w:r>
        <w:rPr>
          <w:rFonts w:ascii="Arial" w:hAnsi="Arial"/>
        </w:rPr>
        <w:t>Public information must be accurate, transparent, not misleading and consistent with Australian QC’s approved scope and obligations.</w:t>
      </w:r>
    </w:p>
    <w:p w14:paraId="4CC8DF18" w14:textId="77777777" w:rsidR="0072478D" w:rsidRDefault="00000000">
      <w:pPr>
        <w:pStyle w:val="Heading1"/>
      </w:pPr>
      <w:r>
        <w:rPr>
          <w:rFonts w:ascii="Arial" w:hAnsi="Arial"/>
          <w:color w:val="003B5C"/>
          <w:sz w:val="28"/>
        </w:rPr>
        <w:lastRenderedPageBreak/>
        <w:t>3. Reporting and Governance Relationships</w:t>
      </w:r>
    </w:p>
    <w:p w14:paraId="512372DC" w14:textId="77777777" w:rsidR="0072478D" w:rsidRDefault="00000000">
      <w:pPr>
        <w:pStyle w:val="ListBullet"/>
      </w:pPr>
      <w:r>
        <w:rPr>
          <w:rFonts w:ascii="Arial" w:hAnsi="Arial"/>
        </w:rPr>
        <w:t>Reports to Top Management and the Australian QC company governance structure for the purpose of impartiality oversight, while maintaining independence from day-to-day commercial and operational pressures.</w:t>
      </w:r>
    </w:p>
    <w:p w14:paraId="57FA4547" w14:textId="77777777" w:rsidR="0072478D" w:rsidRDefault="00000000">
      <w:pPr>
        <w:pStyle w:val="ListBullet"/>
      </w:pPr>
      <w:r>
        <w:rPr>
          <w:rFonts w:ascii="Arial" w:hAnsi="Arial"/>
        </w:rPr>
        <w:t>Operates in accordance with the Impartiality Committee Terms of Reference, this job description and Australian QC’s documented impartiality, confidentiality and conflict-of-interest procedures.</w:t>
      </w:r>
    </w:p>
    <w:p w14:paraId="37408917" w14:textId="77777777" w:rsidR="0072478D" w:rsidRDefault="00000000">
      <w:pPr>
        <w:pStyle w:val="ListBullet"/>
      </w:pPr>
      <w:r>
        <w:rPr>
          <w:rFonts w:ascii="Arial" w:hAnsi="Arial"/>
        </w:rPr>
        <w:t>Has access to information necessary to fulfil its role, subject to confidentiality, privacy, information security, legal privilege and need-to-know controls.</w:t>
      </w:r>
    </w:p>
    <w:p w14:paraId="41D7F818" w14:textId="77777777" w:rsidR="0072478D" w:rsidRDefault="00000000">
      <w:pPr>
        <w:pStyle w:val="ListBullet"/>
      </w:pPr>
      <w:r>
        <w:rPr>
          <w:rFonts w:ascii="Arial" w:hAnsi="Arial"/>
        </w:rPr>
        <w:t>Works with the Business Administration Manager, Certification Specialist - Coordination, Certification Specialist - Technical, authorised certification decision-makers, auditors, technical experts and other authorised personnel where impartiality matters require review or advice.</w:t>
      </w:r>
    </w:p>
    <w:p w14:paraId="1555882A" w14:textId="77777777" w:rsidR="0072478D" w:rsidRDefault="00000000">
      <w:pPr>
        <w:pStyle w:val="ListBullet"/>
      </w:pPr>
      <w:r>
        <w:rPr>
          <w:rFonts w:ascii="Arial" w:hAnsi="Arial"/>
        </w:rPr>
        <w:t>May provide recommendations to pause, decline, reassign, independently review or escalate activities where independence may reasonably be questioned.</w:t>
      </w:r>
    </w:p>
    <w:p w14:paraId="0D5565C3" w14:textId="77777777" w:rsidR="0072478D" w:rsidRDefault="00000000">
      <w:pPr>
        <w:pStyle w:val="ListBullet"/>
      </w:pPr>
      <w:r>
        <w:rPr>
          <w:rFonts w:ascii="Arial" w:hAnsi="Arial"/>
        </w:rPr>
        <w:t>May recommend notification or escalation to JAS-ANZ, the NDIS Commission or another relevant body where required by Australian QC procedure, accreditation arrangements, scheme requirements or applicable law.</w:t>
      </w:r>
    </w:p>
    <w:p w14:paraId="202DADA7" w14:textId="77777777" w:rsidR="0072478D" w:rsidRDefault="00000000">
      <w:pPr>
        <w:pStyle w:val="Heading1"/>
      </w:pPr>
      <w:r>
        <w:rPr>
          <w:rFonts w:ascii="Arial" w:hAnsi="Arial"/>
          <w:color w:val="003B5C"/>
          <w:sz w:val="28"/>
        </w:rPr>
        <w:t>4. Decision Authority</w:t>
      </w:r>
    </w:p>
    <w:p w14:paraId="136BA1E8" w14:textId="77777777" w:rsidR="0072478D" w:rsidRDefault="00000000">
      <w:r>
        <w:rPr>
          <w:rFonts w:ascii="Arial" w:hAnsi="Arial"/>
        </w:rPr>
        <w:t>The Committee has authority to review, challenge, advise, recommend and escalate impartiality matters. It is not responsible for routine operational management or certification decision-making.</w:t>
      </w:r>
    </w:p>
    <w:p w14:paraId="232F0AA3" w14:textId="77777777" w:rsidR="0072478D" w:rsidRDefault="00000000">
      <w:pPr>
        <w:pStyle w:val="ListBullet"/>
      </w:pPr>
      <w:r>
        <w:rPr>
          <w:rFonts w:ascii="Arial" w:hAnsi="Arial"/>
        </w:rPr>
        <w:t>Review the Impartiality Register, Engagement Risk Log, Consultant and Referral Relationship Register, Gifts/Benefits Register, conflict-of-interest declarations, auditor external-interest records, internal audit findings, complaints/appeals trends and relevant management review inputs.</w:t>
      </w:r>
    </w:p>
    <w:p w14:paraId="5EB7E262" w14:textId="77777777" w:rsidR="0072478D" w:rsidRDefault="00000000">
      <w:pPr>
        <w:pStyle w:val="ListBullet"/>
      </w:pPr>
      <w:r>
        <w:rPr>
          <w:rFonts w:ascii="Arial" w:hAnsi="Arial"/>
        </w:rPr>
        <w:t>Request further information, clarification or management response where impartiality risks are not adequately addressed.</w:t>
      </w:r>
    </w:p>
    <w:p w14:paraId="4F74BB44" w14:textId="77777777" w:rsidR="0072478D" w:rsidRDefault="00000000">
      <w:pPr>
        <w:pStyle w:val="ListBullet"/>
      </w:pPr>
      <w:r>
        <w:rPr>
          <w:rFonts w:ascii="Arial" w:hAnsi="Arial"/>
        </w:rPr>
        <w:t>Recommend corrective, preventive or improvement actions to strengthen impartiality safeguards and certification confidence.</w:t>
      </w:r>
    </w:p>
    <w:p w14:paraId="4C410E99" w14:textId="77777777" w:rsidR="0072478D" w:rsidRDefault="00000000">
      <w:pPr>
        <w:pStyle w:val="ListBullet"/>
      </w:pPr>
      <w:r>
        <w:rPr>
          <w:rFonts w:ascii="Arial" w:hAnsi="Arial"/>
        </w:rPr>
        <w:t>Recommend that work be paused, declined, reassigned or independently reviewed where impartiality, competence, confidentiality or integrity may be compromised or reasonably perceived to be compromised.</w:t>
      </w:r>
    </w:p>
    <w:p w14:paraId="76D9D6D3" w14:textId="77777777" w:rsidR="0072478D" w:rsidRDefault="00000000">
      <w:pPr>
        <w:pStyle w:val="ListBullet"/>
      </w:pPr>
      <w:r>
        <w:rPr>
          <w:rFonts w:ascii="Arial" w:hAnsi="Arial"/>
        </w:rPr>
        <w:t>Review the effectiveness of structural separation between business development, audit/evaluation, review and certification decision-making.</w:t>
      </w:r>
    </w:p>
    <w:p w14:paraId="1E13554A" w14:textId="77777777" w:rsidR="0072478D" w:rsidRDefault="00000000">
      <w:pPr>
        <w:pStyle w:val="ListBullet"/>
      </w:pPr>
      <w:r>
        <w:rPr>
          <w:rFonts w:ascii="Arial" w:hAnsi="Arial"/>
        </w:rPr>
        <w:t>Review whether public information, website statements, advertising, testimonials and application forms remain accurate, transparent and not misleading.</w:t>
      </w:r>
    </w:p>
    <w:p w14:paraId="66BBBC71" w14:textId="77777777" w:rsidR="0072478D" w:rsidRDefault="00000000">
      <w:r>
        <w:rPr>
          <w:rFonts w:ascii="Arial" w:hAnsi="Arial"/>
        </w:rPr>
        <w:t>The Committee must not make certification decisions, approve certificates, approve audit findings, approve auditor competence, close nonconformities, resolve appeals, set commercial pricing, allocate auditors for commercial purposes or manage client relationships unless a separate authorised function is documented and the member is competent, impartial and independent from the matter.</w:t>
      </w:r>
    </w:p>
    <w:p w14:paraId="4B391C9B" w14:textId="77777777" w:rsidR="0072478D" w:rsidRDefault="00000000">
      <w:pPr>
        <w:pStyle w:val="Heading1"/>
      </w:pPr>
      <w:r>
        <w:rPr>
          <w:rFonts w:ascii="Arial" w:hAnsi="Arial"/>
          <w:color w:val="003B5C"/>
          <w:sz w:val="28"/>
        </w:rPr>
        <w:t>5. Clause and Requirement Alignment</w:t>
      </w:r>
    </w:p>
    <w:tbl>
      <w:tblPr>
        <w:tblStyle w:val="TableGrid"/>
        <w:tblW w:w="0" w:type="auto"/>
        <w:jc w:val="center"/>
        <w:tblLook w:val="04A0" w:firstRow="1" w:lastRow="0" w:firstColumn="1" w:lastColumn="0" w:noHBand="0" w:noVBand="1"/>
      </w:tblPr>
      <w:tblGrid>
        <w:gridCol w:w="3341"/>
        <w:gridCol w:w="3342"/>
        <w:gridCol w:w="3341"/>
      </w:tblGrid>
      <w:tr w:rsidR="0072478D" w14:paraId="1A8CBFEC" w14:textId="77777777">
        <w:trPr>
          <w:jc w:val="center"/>
        </w:trPr>
        <w:tc>
          <w:tcPr>
            <w:tcW w:w="3345" w:type="dxa"/>
            <w:shd w:val="clear" w:color="auto" w:fill="003B5C"/>
          </w:tcPr>
          <w:p w14:paraId="690B532D" w14:textId="77777777" w:rsidR="0072478D" w:rsidRDefault="00000000">
            <w:r>
              <w:rPr>
                <w:rFonts w:ascii="Arial" w:hAnsi="Arial"/>
                <w:b/>
                <w:color w:val="FFFFFF"/>
                <w:sz w:val="16"/>
              </w:rPr>
              <w:t>Requirement area</w:t>
            </w:r>
          </w:p>
        </w:tc>
        <w:tc>
          <w:tcPr>
            <w:tcW w:w="3345" w:type="dxa"/>
            <w:shd w:val="clear" w:color="auto" w:fill="003B5C"/>
          </w:tcPr>
          <w:p w14:paraId="7282E2A0" w14:textId="77777777" w:rsidR="0072478D" w:rsidRDefault="00000000">
            <w:r>
              <w:rPr>
                <w:rFonts w:ascii="Arial" w:hAnsi="Arial"/>
                <w:b/>
                <w:color w:val="FFFFFF"/>
                <w:sz w:val="16"/>
              </w:rPr>
              <w:t>Committee alignment</w:t>
            </w:r>
          </w:p>
        </w:tc>
        <w:tc>
          <w:tcPr>
            <w:tcW w:w="3345" w:type="dxa"/>
            <w:shd w:val="clear" w:color="auto" w:fill="003B5C"/>
          </w:tcPr>
          <w:p w14:paraId="223D08F1" w14:textId="77777777" w:rsidR="0072478D" w:rsidRDefault="00000000">
            <w:r>
              <w:rPr>
                <w:rFonts w:ascii="Arial" w:hAnsi="Arial"/>
                <w:b/>
                <w:color w:val="FFFFFF"/>
                <w:sz w:val="16"/>
              </w:rPr>
              <w:t>Evidence generated</w:t>
            </w:r>
          </w:p>
        </w:tc>
      </w:tr>
      <w:tr w:rsidR="0072478D" w14:paraId="19D6945D" w14:textId="77777777">
        <w:trPr>
          <w:jc w:val="center"/>
        </w:trPr>
        <w:tc>
          <w:tcPr>
            <w:tcW w:w="3345" w:type="dxa"/>
            <w:shd w:val="clear" w:color="auto" w:fill="F2F2F2"/>
          </w:tcPr>
          <w:p w14:paraId="24AB8752" w14:textId="77777777" w:rsidR="0072478D" w:rsidRDefault="00000000">
            <w:r>
              <w:rPr>
                <w:rFonts w:ascii="Arial" w:hAnsi="Arial"/>
                <w:sz w:val="16"/>
              </w:rPr>
              <w:t>ISO/IEC 17065 impartiality and mechanism requirements</w:t>
            </w:r>
          </w:p>
        </w:tc>
        <w:tc>
          <w:tcPr>
            <w:tcW w:w="3345" w:type="dxa"/>
            <w:shd w:val="clear" w:color="auto" w:fill="F2F2F2"/>
          </w:tcPr>
          <w:p w14:paraId="63730C4F" w14:textId="77777777" w:rsidR="0072478D" w:rsidRDefault="00000000">
            <w:r>
              <w:rPr>
                <w:rFonts w:ascii="Arial" w:hAnsi="Arial"/>
                <w:sz w:val="16"/>
              </w:rPr>
              <w:t>Provides independent oversight of impartiality risks, conflicts and controls.</w:t>
            </w:r>
          </w:p>
        </w:tc>
        <w:tc>
          <w:tcPr>
            <w:tcW w:w="3345" w:type="dxa"/>
            <w:shd w:val="clear" w:color="auto" w:fill="F2F2F2"/>
          </w:tcPr>
          <w:p w14:paraId="4FAC2364" w14:textId="77777777" w:rsidR="0072478D" w:rsidRDefault="00000000">
            <w:r>
              <w:rPr>
                <w:rFonts w:ascii="Arial" w:hAnsi="Arial"/>
                <w:sz w:val="16"/>
              </w:rPr>
              <w:t>Minutes, action register, register review records, management responses</w:t>
            </w:r>
          </w:p>
        </w:tc>
      </w:tr>
      <w:tr w:rsidR="0072478D" w14:paraId="4A7A9F3A" w14:textId="77777777">
        <w:trPr>
          <w:jc w:val="center"/>
        </w:trPr>
        <w:tc>
          <w:tcPr>
            <w:tcW w:w="3345" w:type="dxa"/>
          </w:tcPr>
          <w:p w14:paraId="58066FE0" w14:textId="77777777" w:rsidR="0072478D" w:rsidRDefault="00000000">
            <w:r>
              <w:rPr>
                <w:rFonts w:ascii="Arial" w:hAnsi="Arial"/>
                <w:sz w:val="16"/>
              </w:rPr>
              <w:t>AQA Scheme Guidelines clauses 31-36 and AQA Code of Conduct</w:t>
            </w:r>
          </w:p>
        </w:tc>
        <w:tc>
          <w:tcPr>
            <w:tcW w:w="3345" w:type="dxa"/>
          </w:tcPr>
          <w:p w14:paraId="09FED825" w14:textId="77777777" w:rsidR="0072478D" w:rsidRDefault="00000000">
            <w:r>
              <w:rPr>
                <w:rFonts w:ascii="Arial" w:hAnsi="Arial"/>
                <w:sz w:val="16"/>
              </w:rPr>
              <w:t>Reviews actual and perceived conflicts, independence, inducements and commercial influence risks.</w:t>
            </w:r>
          </w:p>
        </w:tc>
        <w:tc>
          <w:tcPr>
            <w:tcW w:w="3345" w:type="dxa"/>
          </w:tcPr>
          <w:p w14:paraId="10B6A8E9" w14:textId="77777777" w:rsidR="0072478D" w:rsidRDefault="00000000">
            <w:r>
              <w:rPr>
                <w:rFonts w:ascii="Arial" w:hAnsi="Arial"/>
                <w:sz w:val="16"/>
              </w:rPr>
              <w:t>COI declarations, risk assessments, escalation records</w:t>
            </w:r>
          </w:p>
        </w:tc>
      </w:tr>
      <w:tr w:rsidR="0072478D" w14:paraId="20DF0110" w14:textId="77777777">
        <w:trPr>
          <w:jc w:val="center"/>
        </w:trPr>
        <w:tc>
          <w:tcPr>
            <w:tcW w:w="3345" w:type="dxa"/>
            <w:shd w:val="clear" w:color="auto" w:fill="F2F2F2"/>
          </w:tcPr>
          <w:p w14:paraId="5D3B50D5" w14:textId="77777777" w:rsidR="0072478D" w:rsidRDefault="00000000">
            <w:r>
              <w:rPr>
                <w:rFonts w:ascii="Arial" w:hAnsi="Arial"/>
                <w:sz w:val="16"/>
              </w:rPr>
              <w:t>NDIS Commission expectations for AQAs</w:t>
            </w:r>
          </w:p>
        </w:tc>
        <w:tc>
          <w:tcPr>
            <w:tcW w:w="3345" w:type="dxa"/>
            <w:shd w:val="clear" w:color="auto" w:fill="F2F2F2"/>
          </w:tcPr>
          <w:p w14:paraId="4798D046" w14:textId="77777777" w:rsidR="0072478D" w:rsidRDefault="00000000">
            <w:r>
              <w:rPr>
                <w:rFonts w:ascii="Arial" w:hAnsi="Arial"/>
                <w:sz w:val="16"/>
              </w:rPr>
              <w:t>Reviews consultant/referral-source risks, prohibited benefits and direct provider engagement controls.</w:t>
            </w:r>
          </w:p>
        </w:tc>
        <w:tc>
          <w:tcPr>
            <w:tcW w:w="3345" w:type="dxa"/>
            <w:shd w:val="clear" w:color="auto" w:fill="F2F2F2"/>
          </w:tcPr>
          <w:p w14:paraId="4C7ADF8D" w14:textId="77777777" w:rsidR="0072478D" w:rsidRDefault="00000000">
            <w:r>
              <w:rPr>
                <w:rFonts w:ascii="Arial" w:hAnsi="Arial"/>
                <w:sz w:val="16"/>
              </w:rPr>
              <w:t>Impartiality Register, Engagement Risk Log, Consultant Referral Register</w:t>
            </w:r>
          </w:p>
        </w:tc>
      </w:tr>
      <w:tr w:rsidR="0072478D" w14:paraId="01BBD086" w14:textId="77777777">
        <w:trPr>
          <w:jc w:val="center"/>
        </w:trPr>
        <w:tc>
          <w:tcPr>
            <w:tcW w:w="3345" w:type="dxa"/>
          </w:tcPr>
          <w:p w14:paraId="26387850" w14:textId="77777777" w:rsidR="0072478D" w:rsidRDefault="00000000">
            <w:r>
              <w:rPr>
                <w:rFonts w:ascii="Arial" w:hAnsi="Arial"/>
                <w:sz w:val="16"/>
              </w:rPr>
              <w:t>JAS-ANZ accreditation expectations</w:t>
            </w:r>
          </w:p>
        </w:tc>
        <w:tc>
          <w:tcPr>
            <w:tcW w:w="3345" w:type="dxa"/>
          </w:tcPr>
          <w:p w14:paraId="5F6C6310" w14:textId="77777777" w:rsidR="0072478D" w:rsidRDefault="00000000">
            <w:r>
              <w:rPr>
                <w:rFonts w:ascii="Arial" w:hAnsi="Arial"/>
                <w:sz w:val="16"/>
              </w:rPr>
              <w:t>Supports effective governance, impartiality safeguards and evidence readiness.</w:t>
            </w:r>
          </w:p>
        </w:tc>
        <w:tc>
          <w:tcPr>
            <w:tcW w:w="3345" w:type="dxa"/>
          </w:tcPr>
          <w:p w14:paraId="5C213A06" w14:textId="77777777" w:rsidR="0072478D" w:rsidRDefault="00000000">
            <w:r>
              <w:rPr>
                <w:rFonts w:ascii="Arial" w:hAnsi="Arial"/>
                <w:sz w:val="16"/>
              </w:rPr>
              <w:t>Committee minutes, internal audit links, management review inputs</w:t>
            </w:r>
          </w:p>
        </w:tc>
      </w:tr>
      <w:tr w:rsidR="0072478D" w14:paraId="562C6CB2" w14:textId="77777777">
        <w:trPr>
          <w:jc w:val="center"/>
        </w:trPr>
        <w:tc>
          <w:tcPr>
            <w:tcW w:w="3345" w:type="dxa"/>
            <w:shd w:val="clear" w:color="auto" w:fill="F2F2F2"/>
          </w:tcPr>
          <w:p w14:paraId="1D3B5E14" w14:textId="77777777" w:rsidR="0072478D" w:rsidRDefault="00000000">
            <w:r>
              <w:rPr>
                <w:rFonts w:ascii="Arial" w:hAnsi="Arial"/>
                <w:sz w:val="16"/>
              </w:rPr>
              <w:t>Public transparency and ACCC-aligned conduct</w:t>
            </w:r>
          </w:p>
        </w:tc>
        <w:tc>
          <w:tcPr>
            <w:tcW w:w="3345" w:type="dxa"/>
            <w:shd w:val="clear" w:color="auto" w:fill="F2F2F2"/>
          </w:tcPr>
          <w:p w14:paraId="0994DDFE" w14:textId="77777777" w:rsidR="0072478D" w:rsidRDefault="00000000">
            <w:r>
              <w:rPr>
                <w:rFonts w:ascii="Arial" w:hAnsi="Arial"/>
                <w:sz w:val="16"/>
              </w:rPr>
              <w:t>Reviews website/public claims and impartiality statement for clarity and accuracy.</w:t>
            </w:r>
          </w:p>
        </w:tc>
        <w:tc>
          <w:tcPr>
            <w:tcW w:w="3345" w:type="dxa"/>
            <w:shd w:val="clear" w:color="auto" w:fill="F2F2F2"/>
          </w:tcPr>
          <w:p w14:paraId="2F1510A6" w14:textId="77777777" w:rsidR="0072478D" w:rsidRDefault="00000000">
            <w:r>
              <w:rPr>
                <w:rFonts w:ascii="Arial" w:hAnsi="Arial"/>
                <w:sz w:val="16"/>
              </w:rPr>
              <w:t>Website Update Tracker, review approvals, screenshots</w:t>
            </w:r>
          </w:p>
        </w:tc>
      </w:tr>
    </w:tbl>
    <w:p w14:paraId="0152D1F1" w14:textId="77777777" w:rsidR="0072478D" w:rsidRDefault="00000000">
      <w:pPr>
        <w:pStyle w:val="Heading1"/>
      </w:pPr>
      <w:r>
        <w:rPr>
          <w:rFonts w:ascii="Arial" w:hAnsi="Arial"/>
          <w:color w:val="003B5C"/>
          <w:sz w:val="28"/>
        </w:rPr>
        <w:t>6. Key Roles and Responsibilities</w:t>
      </w:r>
    </w:p>
    <w:p w14:paraId="614CC5E4" w14:textId="77777777" w:rsidR="0072478D" w:rsidRDefault="00000000">
      <w:pPr>
        <w:pStyle w:val="Heading2"/>
      </w:pPr>
      <w:r>
        <w:rPr>
          <w:rFonts w:ascii="Arial" w:hAnsi="Arial"/>
          <w:color w:val="003B5C"/>
          <w:sz w:val="24"/>
        </w:rPr>
        <w:t>6.1 Independent Impartiality Oversight</w:t>
      </w:r>
    </w:p>
    <w:p w14:paraId="5950B6A3" w14:textId="77777777" w:rsidR="0072478D" w:rsidRDefault="00000000">
      <w:pPr>
        <w:pStyle w:val="ListBullet"/>
      </w:pPr>
      <w:r>
        <w:rPr>
          <w:rFonts w:ascii="Arial" w:hAnsi="Arial"/>
        </w:rPr>
        <w:t>Review whether Australian QC has effective processes for identifying, analysing, managing, documenting and monitoring impartiality risks.</w:t>
      </w:r>
    </w:p>
    <w:p w14:paraId="087B655B" w14:textId="77777777" w:rsidR="0072478D" w:rsidRDefault="00000000">
      <w:pPr>
        <w:pStyle w:val="ListBullet"/>
      </w:pPr>
      <w:r>
        <w:rPr>
          <w:rFonts w:ascii="Arial" w:hAnsi="Arial"/>
        </w:rPr>
        <w:lastRenderedPageBreak/>
        <w:t>Provide independent challenge where impartiality controls appear incomplete, ineffective or not implemented as intended.</w:t>
      </w:r>
    </w:p>
    <w:p w14:paraId="00EC1B3F" w14:textId="77777777" w:rsidR="0072478D" w:rsidRDefault="00000000">
      <w:pPr>
        <w:pStyle w:val="ListBullet"/>
      </w:pPr>
      <w:r>
        <w:rPr>
          <w:rFonts w:ascii="Arial" w:hAnsi="Arial"/>
        </w:rPr>
        <w:t>Review whether audit activities, technical review and certification decisions are protected from commercial, personal, consultancy or referral influence.</w:t>
      </w:r>
    </w:p>
    <w:p w14:paraId="7CDDE26D" w14:textId="77777777" w:rsidR="0072478D" w:rsidRDefault="00000000">
      <w:pPr>
        <w:pStyle w:val="ListBullet"/>
      </w:pPr>
      <w:r>
        <w:rPr>
          <w:rFonts w:ascii="Arial" w:hAnsi="Arial"/>
        </w:rPr>
        <w:t>Support public confidence in the fairness, objectivity, defensibility and integrity of Australian QC certification activities.</w:t>
      </w:r>
    </w:p>
    <w:p w14:paraId="674465AF" w14:textId="77777777" w:rsidR="0072478D" w:rsidRDefault="00000000">
      <w:pPr>
        <w:pStyle w:val="ListBullet"/>
      </w:pPr>
      <w:r>
        <w:rPr>
          <w:rFonts w:ascii="Arial" w:hAnsi="Arial"/>
        </w:rPr>
        <w:t>Review whether no single interest predominates in impartiality governance and committee deliberations.</w:t>
      </w:r>
    </w:p>
    <w:p w14:paraId="45FDDA24" w14:textId="77777777" w:rsidR="0072478D" w:rsidRDefault="00000000">
      <w:pPr>
        <w:pStyle w:val="Heading2"/>
      </w:pPr>
      <w:r>
        <w:rPr>
          <w:rFonts w:ascii="Arial" w:hAnsi="Arial"/>
          <w:color w:val="003B5C"/>
          <w:sz w:val="24"/>
        </w:rPr>
        <w:t>6.2 Consultant, Referral and External Relationship Controls</w:t>
      </w:r>
    </w:p>
    <w:p w14:paraId="36A682AD" w14:textId="77777777" w:rsidR="0072478D" w:rsidRDefault="00000000">
      <w:pPr>
        <w:pStyle w:val="ListBullet"/>
      </w:pPr>
      <w:r>
        <w:rPr>
          <w:rFonts w:ascii="Arial" w:hAnsi="Arial"/>
        </w:rPr>
        <w:t>Review risks arising from consultants, advisors, brokers, referral sources, marketing partners, industry relationships, external networks or any other third party connected with audit enquiries or engagements.</w:t>
      </w:r>
    </w:p>
    <w:p w14:paraId="2CEFFA65" w14:textId="77777777" w:rsidR="0072478D" w:rsidRDefault="00000000">
      <w:pPr>
        <w:pStyle w:val="ListBullet"/>
      </w:pPr>
      <w:r>
        <w:rPr>
          <w:rFonts w:ascii="Arial" w:hAnsi="Arial"/>
        </w:rPr>
        <w:t>Confirm that consultant and referral-source relationships are recorded in the appropriate register and subject to documented risk assessment where relevant.</w:t>
      </w:r>
    </w:p>
    <w:p w14:paraId="0D65BC7A" w14:textId="77777777" w:rsidR="0072478D" w:rsidRDefault="00000000">
      <w:pPr>
        <w:pStyle w:val="ListBullet"/>
      </w:pPr>
      <w:r>
        <w:rPr>
          <w:rFonts w:ascii="Arial" w:hAnsi="Arial"/>
        </w:rPr>
        <w:t>Review whether Australian QC maintains direct provider engagement for audit enquiry, quotation, scope, planning, audit communication, corrective action and certification-related matters.</w:t>
      </w:r>
    </w:p>
    <w:p w14:paraId="12FC4840" w14:textId="77777777" w:rsidR="0072478D" w:rsidRDefault="00000000">
      <w:pPr>
        <w:pStyle w:val="ListBullet"/>
      </w:pPr>
      <w:r>
        <w:rPr>
          <w:rFonts w:ascii="Arial" w:hAnsi="Arial"/>
        </w:rPr>
        <w:t>Review whether consultants or advisors are prevented from controlling, obscuring or replacing the direct professional relationship between the provider and Australian QC.</w:t>
      </w:r>
    </w:p>
    <w:p w14:paraId="736C6E01" w14:textId="77777777" w:rsidR="0072478D" w:rsidRDefault="00000000">
      <w:pPr>
        <w:pStyle w:val="ListBullet"/>
      </w:pPr>
      <w:r>
        <w:rPr>
          <w:rFonts w:ascii="Arial" w:hAnsi="Arial"/>
        </w:rPr>
        <w:t>Recommend that work be paused, declined or independently reviewed where a consultant/referral relationship may compromise, or appear to compromise, impartiality.</w:t>
      </w:r>
    </w:p>
    <w:p w14:paraId="21C50364" w14:textId="77777777" w:rsidR="0072478D" w:rsidRDefault="00000000">
      <w:pPr>
        <w:pStyle w:val="Heading2"/>
      </w:pPr>
      <w:r>
        <w:rPr>
          <w:rFonts w:ascii="Arial" w:hAnsi="Arial"/>
          <w:color w:val="003B5C"/>
          <w:sz w:val="24"/>
        </w:rPr>
        <w:t>6.3 Prohibited Benefits, Gifts and Commercial Influence</w:t>
      </w:r>
    </w:p>
    <w:p w14:paraId="1E1FE3E1" w14:textId="77777777" w:rsidR="0072478D" w:rsidRDefault="00000000">
      <w:pPr>
        <w:pStyle w:val="ListBullet"/>
      </w:pPr>
      <w:r>
        <w:rPr>
          <w:rFonts w:ascii="Arial" w:hAnsi="Arial"/>
        </w:rPr>
        <w:t>Review controls preventing referral fees, commissions, success-based payments, revenue-sharing, lead-purchase arrangements, preferred-supplier arrangements, exclusive referral arrangements, gifts, hospitality, inducements or other financial or non-financial benefits linked to audit or certification work.</w:t>
      </w:r>
    </w:p>
    <w:p w14:paraId="4875EC54" w14:textId="77777777" w:rsidR="0072478D" w:rsidRDefault="00000000">
      <w:pPr>
        <w:pStyle w:val="ListBullet"/>
      </w:pPr>
      <w:r>
        <w:rPr>
          <w:rFonts w:ascii="Arial" w:hAnsi="Arial"/>
        </w:rPr>
        <w:t>Review the Gifts, Benefits and Hospitality Register and ensure attempted, declined or uncertain benefits are recorded and escalated.</w:t>
      </w:r>
    </w:p>
    <w:p w14:paraId="6EF83831" w14:textId="77777777" w:rsidR="0072478D" w:rsidRDefault="00000000">
      <w:pPr>
        <w:pStyle w:val="ListBullet"/>
      </w:pPr>
      <w:r>
        <w:rPr>
          <w:rFonts w:ascii="Arial" w:hAnsi="Arial"/>
        </w:rPr>
        <w:t>Review whether sitting allowances or committee payments are fixed governance fees and are not linked to referrals, audit volume, certification outcomes or client acquisition.</w:t>
      </w:r>
    </w:p>
    <w:p w14:paraId="43909C4C" w14:textId="77777777" w:rsidR="0072478D" w:rsidRDefault="00000000">
      <w:pPr>
        <w:pStyle w:val="ListBullet"/>
      </w:pPr>
      <w:r>
        <w:rPr>
          <w:rFonts w:ascii="Arial" w:hAnsi="Arial"/>
        </w:rPr>
        <w:t>Escalate any suspected financial or non-financial benefit that could steer, influence or appear to influence audit allocation, audit findings, audit review or certification decisions.</w:t>
      </w:r>
    </w:p>
    <w:p w14:paraId="1DC8EA0D" w14:textId="77777777" w:rsidR="0072478D" w:rsidRDefault="00000000">
      <w:pPr>
        <w:pStyle w:val="Heading2"/>
      </w:pPr>
      <w:r>
        <w:rPr>
          <w:rFonts w:ascii="Arial" w:hAnsi="Arial"/>
          <w:color w:val="003B5C"/>
          <w:sz w:val="24"/>
        </w:rPr>
        <w:t>6.4 Conflict-of-Interest and External Interest Monitoring</w:t>
      </w:r>
    </w:p>
    <w:p w14:paraId="3FC7B16A" w14:textId="77777777" w:rsidR="0072478D" w:rsidRDefault="00000000">
      <w:pPr>
        <w:pStyle w:val="ListBullet"/>
      </w:pPr>
      <w:r>
        <w:rPr>
          <w:rFonts w:ascii="Arial" w:hAnsi="Arial"/>
        </w:rPr>
        <w:t>Monitor whether conflicts of interest are declared by committee members, Top Management, personnel, auditors, reviewers, certification decision-makers, contractors and relevant external parties.</w:t>
      </w:r>
    </w:p>
    <w:p w14:paraId="6AEE0E4A" w14:textId="77777777" w:rsidR="0072478D" w:rsidRDefault="00000000">
      <w:pPr>
        <w:pStyle w:val="ListBullet"/>
      </w:pPr>
      <w:r>
        <w:rPr>
          <w:rFonts w:ascii="Arial" w:hAnsi="Arial"/>
        </w:rPr>
        <w:t>Review whether declared conflicts are assessed, risk-rated, controlled, recorded and monitored through the applicable registers.</w:t>
      </w:r>
    </w:p>
    <w:p w14:paraId="49A72478" w14:textId="77777777" w:rsidR="0072478D" w:rsidRDefault="00000000">
      <w:pPr>
        <w:pStyle w:val="ListBullet"/>
      </w:pPr>
      <w:r>
        <w:rPr>
          <w:rFonts w:ascii="Arial" w:hAnsi="Arial"/>
        </w:rPr>
        <w:t>Ensure committee members declare actual, potential or perceived conflicts before appointment, annually and at each meeting where relevant.</w:t>
      </w:r>
    </w:p>
    <w:p w14:paraId="2C2EE58A" w14:textId="77777777" w:rsidR="0072478D" w:rsidRDefault="00000000">
      <w:pPr>
        <w:pStyle w:val="ListBullet"/>
      </w:pPr>
      <w:r>
        <w:rPr>
          <w:rFonts w:ascii="Arial" w:hAnsi="Arial"/>
        </w:rPr>
        <w:t>Ensure conflicted members are excluded from discussion, review, advice or recommendations on affected matters unless the conflict has been formally assessed and appropriately managed.</w:t>
      </w:r>
    </w:p>
    <w:p w14:paraId="1E289FB9" w14:textId="77777777" w:rsidR="0072478D" w:rsidRDefault="00000000">
      <w:pPr>
        <w:pStyle w:val="ListBullet"/>
      </w:pPr>
      <w:r>
        <w:rPr>
          <w:rFonts w:ascii="Arial" w:hAnsi="Arial"/>
        </w:rPr>
        <w:t>Recommend avoidance, reassignment, independent review or escalation where a conflict cannot be adequately controlled.</w:t>
      </w:r>
    </w:p>
    <w:p w14:paraId="178445B7" w14:textId="77777777" w:rsidR="0072478D" w:rsidRDefault="00000000">
      <w:pPr>
        <w:pStyle w:val="Heading2"/>
      </w:pPr>
      <w:r>
        <w:rPr>
          <w:rFonts w:ascii="Arial" w:hAnsi="Arial"/>
          <w:color w:val="003B5C"/>
          <w:sz w:val="24"/>
        </w:rPr>
        <w:t>6.5 Structural Independence and Certification Decision Integrity</w:t>
      </w:r>
    </w:p>
    <w:p w14:paraId="48733839" w14:textId="77777777" w:rsidR="0072478D" w:rsidRDefault="00000000">
      <w:pPr>
        <w:pStyle w:val="ListBullet"/>
      </w:pPr>
      <w:r>
        <w:rPr>
          <w:rFonts w:ascii="Arial" w:hAnsi="Arial"/>
        </w:rPr>
        <w:t>Review whether business development, marketing, partnership or client relationship functions have no role in audit team allocation, audit review or certification decisions.</w:t>
      </w:r>
    </w:p>
    <w:p w14:paraId="0740CC23" w14:textId="77777777" w:rsidR="0072478D" w:rsidRDefault="00000000">
      <w:pPr>
        <w:pStyle w:val="ListBullet"/>
      </w:pPr>
      <w:r>
        <w:rPr>
          <w:rFonts w:ascii="Arial" w:hAnsi="Arial"/>
        </w:rPr>
        <w:t>Review whether audit/evaluation, review and certification decision-making remain structurally separated in accordance with Australian QC procedures.</w:t>
      </w:r>
    </w:p>
    <w:p w14:paraId="5BE3FDA1" w14:textId="77777777" w:rsidR="0072478D" w:rsidRDefault="00000000">
      <w:pPr>
        <w:pStyle w:val="ListBullet"/>
      </w:pPr>
      <w:r>
        <w:rPr>
          <w:rFonts w:ascii="Arial" w:hAnsi="Arial"/>
        </w:rPr>
        <w:t>Review whether authorised certification decision-makers are competent, independent from the relevant evaluation and free from unmanaged conflicts.</w:t>
      </w:r>
    </w:p>
    <w:p w14:paraId="5485FC0D" w14:textId="77777777" w:rsidR="0072478D" w:rsidRDefault="00000000">
      <w:pPr>
        <w:pStyle w:val="ListBullet"/>
      </w:pPr>
      <w:r>
        <w:rPr>
          <w:rFonts w:ascii="Arial" w:hAnsi="Arial"/>
        </w:rPr>
        <w:t>Review high-risk matters where commercial pressure, client pressure, relationship pressure, scheduling pressure or internal bias could affect certification activities.</w:t>
      </w:r>
    </w:p>
    <w:p w14:paraId="33237483" w14:textId="77777777" w:rsidR="0072478D" w:rsidRDefault="00000000">
      <w:pPr>
        <w:pStyle w:val="ListBullet"/>
      </w:pPr>
      <w:r>
        <w:rPr>
          <w:rFonts w:ascii="Arial" w:hAnsi="Arial"/>
        </w:rPr>
        <w:t>Recommend escalation where certification decisions may be influenced by matters other than objective evidence and applicable requirements.</w:t>
      </w:r>
    </w:p>
    <w:p w14:paraId="72398DBE" w14:textId="77777777" w:rsidR="0072478D" w:rsidRDefault="00000000">
      <w:pPr>
        <w:pStyle w:val="Heading2"/>
      </w:pPr>
      <w:r>
        <w:rPr>
          <w:rFonts w:ascii="Arial" w:hAnsi="Arial"/>
          <w:color w:val="003B5C"/>
          <w:sz w:val="24"/>
        </w:rPr>
        <w:t>6.6 Complaints, Appeals, Whistleblowing and Ethical Reporting</w:t>
      </w:r>
    </w:p>
    <w:p w14:paraId="24FFAF28" w14:textId="77777777" w:rsidR="0072478D" w:rsidRDefault="00000000">
      <w:pPr>
        <w:pStyle w:val="ListBullet"/>
      </w:pPr>
      <w:r>
        <w:rPr>
          <w:rFonts w:ascii="Arial" w:hAnsi="Arial"/>
        </w:rPr>
        <w:t>Review impartiality aspects of complaints, appeals, whistleblowing or ethical reporting matters where independence, conflict of interest, retaliation or undue influence is alleged or reasonably suspected.</w:t>
      </w:r>
    </w:p>
    <w:p w14:paraId="7FEF5231" w14:textId="77777777" w:rsidR="0072478D" w:rsidRDefault="00000000">
      <w:pPr>
        <w:pStyle w:val="ListBullet"/>
      </w:pPr>
      <w:r>
        <w:rPr>
          <w:rFonts w:ascii="Arial" w:hAnsi="Arial"/>
        </w:rPr>
        <w:t>Confirm that complaints and appeals are reviewed by persons not involved in the certification activities that are the subject of the complaint or appeal.</w:t>
      </w:r>
    </w:p>
    <w:p w14:paraId="1B3118A4" w14:textId="77777777" w:rsidR="0072478D" w:rsidRDefault="00000000">
      <w:pPr>
        <w:pStyle w:val="ListBullet"/>
      </w:pPr>
      <w:r>
        <w:rPr>
          <w:rFonts w:ascii="Arial" w:hAnsi="Arial"/>
        </w:rPr>
        <w:lastRenderedPageBreak/>
        <w:t>Support independent panel arrangements only where members are competent, authorised, impartial and independent from the matter.</w:t>
      </w:r>
    </w:p>
    <w:p w14:paraId="458B025A" w14:textId="77777777" w:rsidR="0072478D" w:rsidRDefault="00000000">
      <w:pPr>
        <w:pStyle w:val="ListBullet"/>
      </w:pPr>
      <w:r>
        <w:rPr>
          <w:rFonts w:ascii="Arial" w:hAnsi="Arial"/>
        </w:rPr>
        <w:t>Escalate significant complaints or appeals that reveal systemic impartiality, governance or certification integrity risks.</w:t>
      </w:r>
    </w:p>
    <w:p w14:paraId="00E60812" w14:textId="77777777" w:rsidR="0072478D" w:rsidRDefault="00000000">
      <w:pPr>
        <w:pStyle w:val="ListBullet"/>
      </w:pPr>
      <w:r>
        <w:rPr>
          <w:rFonts w:ascii="Arial" w:hAnsi="Arial"/>
        </w:rPr>
        <w:t>Support external escalation controls where a complaint or appeal remains unresolved after 3 months or where the complainant/appellant is dissatisfied with Australian QC’s handling or outcome.</w:t>
      </w:r>
    </w:p>
    <w:p w14:paraId="13D0580F" w14:textId="77777777" w:rsidR="0072478D" w:rsidRDefault="00000000">
      <w:pPr>
        <w:pStyle w:val="Heading2"/>
      </w:pPr>
      <w:r>
        <w:rPr>
          <w:rFonts w:ascii="Arial" w:hAnsi="Arial"/>
          <w:color w:val="003B5C"/>
          <w:sz w:val="24"/>
        </w:rPr>
        <w:t>6.7 Governance Review, Internal Audit and Continual Improvement</w:t>
      </w:r>
    </w:p>
    <w:p w14:paraId="3ACEEFCC" w14:textId="77777777" w:rsidR="0072478D" w:rsidRDefault="00000000">
      <w:pPr>
        <w:pStyle w:val="ListBullet"/>
      </w:pPr>
      <w:r>
        <w:rPr>
          <w:rFonts w:ascii="Arial" w:hAnsi="Arial"/>
        </w:rPr>
        <w:t>Review internal audit findings, management review inputs, risk register items, preventive actions and continual improvement matters relating to impartiality controls.</w:t>
      </w:r>
    </w:p>
    <w:p w14:paraId="2FD23ADE" w14:textId="77777777" w:rsidR="0072478D" w:rsidRDefault="00000000">
      <w:pPr>
        <w:pStyle w:val="ListBullet"/>
      </w:pPr>
      <w:r>
        <w:rPr>
          <w:rFonts w:ascii="Arial" w:hAnsi="Arial"/>
        </w:rPr>
        <w:t>Review whether actions arising from committee recommendations are assigned, tracked, closed and checked for effectiveness.</w:t>
      </w:r>
    </w:p>
    <w:p w14:paraId="2F291909" w14:textId="77777777" w:rsidR="0072478D" w:rsidRDefault="00000000">
      <w:pPr>
        <w:pStyle w:val="ListBullet"/>
      </w:pPr>
      <w:r>
        <w:rPr>
          <w:rFonts w:ascii="Arial" w:hAnsi="Arial"/>
        </w:rPr>
        <w:t>Review changes to organisational structure, job activities, delegation, authority and committee arrangements where they may affect impartiality or certification integrity.</w:t>
      </w:r>
    </w:p>
    <w:p w14:paraId="56B2458F" w14:textId="77777777" w:rsidR="0072478D" w:rsidRDefault="00000000">
      <w:pPr>
        <w:pStyle w:val="ListBullet"/>
      </w:pPr>
      <w:r>
        <w:rPr>
          <w:rFonts w:ascii="Arial" w:hAnsi="Arial"/>
        </w:rPr>
        <w:t>Review notification and change-control records where ownership, governance, key personnel, organisational structure or external relationships may affect impartiality.</w:t>
      </w:r>
    </w:p>
    <w:p w14:paraId="1023703E" w14:textId="77777777" w:rsidR="0072478D" w:rsidRDefault="00000000">
      <w:pPr>
        <w:pStyle w:val="ListBullet"/>
      </w:pPr>
      <w:r>
        <w:rPr>
          <w:rFonts w:ascii="Arial" w:hAnsi="Arial"/>
        </w:rPr>
        <w:t>Recommend improvements to procedures, forms, registers, website content, training, declarations and competence controls.</w:t>
      </w:r>
    </w:p>
    <w:p w14:paraId="3A95C694" w14:textId="77777777" w:rsidR="0072478D" w:rsidRDefault="00000000">
      <w:pPr>
        <w:pStyle w:val="Heading2"/>
      </w:pPr>
      <w:r>
        <w:rPr>
          <w:rFonts w:ascii="Arial" w:hAnsi="Arial"/>
          <w:color w:val="003B5C"/>
          <w:sz w:val="24"/>
        </w:rPr>
        <w:t>6.8 Public Information, Website and Transparency</w:t>
      </w:r>
    </w:p>
    <w:p w14:paraId="1EEFDD41" w14:textId="77777777" w:rsidR="0072478D" w:rsidRDefault="00000000">
      <w:pPr>
        <w:pStyle w:val="ListBullet"/>
      </w:pPr>
      <w:r>
        <w:rPr>
          <w:rFonts w:ascii="Arial" w:hAnsi="Arial"/>
        </w:rPr>
        <w:t>Review whether Australian QC maintains a current and accessible public impartiality policy or statement.</w:t>
      </w:r>
    </w:p>
    <w:p w14:paraId="7307D702" w14:textId="77777777" w:rsidR="0072478D" w:rsidRDefault="00000000">
      <w:pPr>
        <w:pStyle w:val="ListBullet"/>
      </w:pPr>
      <w:r>
        <w:rPr>
          <w:rFonts w:ascii="Arial" w:hAnsi="Arial"/>
        </w:rPr>
        <w:t>Review website content, application forms, advertisements and public claims to ensure they are accurate, transparent, not misleading and do not imply consultancy or guaranteed outcomes.</w:t>
      </w:r>
    </w:p>
    <w:p w14:paraId="0ED0641C" w14:textId="77777777" w:rsidR="0072478D" w:rsidRDefault="00000000">
      <w:pPr>
        <w:pStyle w:val="ListBullet"/>
      </w:pPr>
      <w:r>
        <w:rPr>
          <w:rFonts w:ascii="Arial" w:hAnsi="Arial"/>
        </w:rPr>
        <w:t>Review whether public information explains Australian QC’s no-referral-benefit position, no-consultancy position, direct provider engagement expectations and impartiality governance arrangements.</w:t>
      </w:r>
    </w:p>
    <w:p w14:paraId="6B9D4DBA" w14:textId="77777777" w:rsidR="0072478D" w:rsidRDefault="00000000">
      <w:pPr>
        <w:pStyle w:val="ListBullet"/>
      </w:pPr>
      <w:r>
        <w:rPr>
          <w:rFonts w:ascii="Arial" w:hAnsi="Arial"/>
        </w:rPr>
        <w:t>Recommend correction of public information where wording could reasonably be interpreted as consultancy, preferential treatment, guaranteed certification or misleading commercial claims.</w:t>
      </w:r>
    </w:p>
    <w:p w14:paraId="0CBBC452" w14:textId="77777777" w:rsidR="0072478D" w:rsidRDefault="00000000">
      <w:pPr>
        <w:pStyle w:val="Heading1"/>
      </w:pPr>
      <w:r>
        <w:rPr>
          <w:rFonts w:ascii="Arial" w:hAnsi="Arial"/>
          <w:color w:val="003B5C"/>
          <w:sz w:val="28"/>
        </w:rPr>
        <w:t>7. Membership, Composition and Diversity</w:t>
      </w:r>
    </w:p>
    <w:p w14:paraId="1A67390F" w14:textId="77777777" w:rsidR="0072478D" w:rsidRDefault="00000000">
      <w:r>
        <w:rPr>
          <w:rFonts w:ascii="Arial" w:hAnsi="Arial"/>
        </w:rPr>
        <w:t>Australian QC aims to maintain a balanced committee or equivalent mechanism that includes independent perspectives and prevents any single interest from predominating. Membership should be appropriate to Australian QC’s scope of activities and the risks being reviewed.</w:t>
      </w:r>
    </w:p>
    <w:p w14:paraId="0504C1EE" w14:textId="77777777" w:rsidR="0072478D" w:rsidRDefault="00000000">
      <w:pPr>
        <w:pStyle w:val="ListBullet"/>
      </w:pPr>
      <w:r>
        <w:rPr>
          <w:rFonts w:ascii="Arial" w:hAnsi="Arial"/>
        </w:rPr>
        <w:t>At least one external independent member should be included where practicable.</w:t>
      </w:r>
    </w:p>
    <w:p w14:paraId="229073E5" w14:textId="77777777" w:rsidR="0072478D" w:rsidRDefault="00000000">
      <w:pPr>
        <w:pStyle w:val="ListBullet"/>
      </w:pPr>
      <w:r>
        <w:rPr>
          <w:rFonts w:ascii="Arial" w:hAnsi="Arial"/>
        </w:rPr>
        <w:t>Membership should seek a balanced combination of governance, risk, compliance, certification, accreditation, NDIS/disability, safeguarding, participant/community and consumer perspectives.</w:t>
      </w:r>
    </w:p>
    <w:p w14:paraId="1ABAE705" w14:textId="77777777" w:rsidR="0072478D" w:rsidRDefault="00000000">
      <w:pPr>
        <w:pStyle w:val="ListBullet"/>
      </w:pPr>
      <w:r>
        <w:rPr>
          <w:rFonts w:ascii="Arial" w:hAnsi="Arial"/>
        </w:rPr>
        <w:t>Australian QC encourages participation from culturally and linguistically diverse communities, people with disability, people with lived experience of disability services, Aboriginal and Torres Strait Islander peoples and persons with relevant community or safeguarding experience.</w:t>
      </w:r>
    </w:p>
    <w:p w14:paraId="0F3D6198" w14:textId="77777777" w:rsidR="0072478D" w:rsidRDefault="00000000">
      <w:pPr>
        <w:pStyle w:val="ListBullet"/>
      </w:pPr>
      <w:r>
        <w:rPr>
          <w:rFonts w:ascii="Arial" w:hAnsi="Arial"/>
        </w:rPr>
        <w:t>Members must not be appointed where their consultancy, referral, commercial, financial, employment, family, personal or other relationship could compromise, or reasonably appear to compromise, impartiality and cannot be effectively managed.</w:t>
      </w:r>
    </w:p>
    <w:p w14:paraId="40D5AF3A" w14:textId="77777777" w:rsidR="0072478D" w:rsidRDefault="00000000">
      <w:pPr>
        <w:pStyle w:val="ListBullet"/>
      </w:pPr>
      <w:r>
        <w:rPr>
          <w:rFonts w:ascii="Arial" w:hAnsi="Arial"/>
        </w:rPr>
        <w:t>Internal Australian QC personnel are treated as one interest when considering balanced representation and no single interest predominance.</w:t>
      </w:r>
    </w:p>
    <w:p w14:paraId="60B027F3" w14:textId="77777777" w:rsidR="0072478D" w:rsidRDefault="00000000">
      <w:pPr>
        <w:pStyle w:val="Heading1"/>
      </w:pPr>
      <w:r>
        <w:rPr>
          <w:rFonts w:ascii="Arial" w:hAnsi="Arial"/>
          <w:color w:val="003B5C"/>
          <w:sz w:val="28"/>
        </w:rPr>
        <w:t>8. Meeting Arrangement, Quorum and Records</w:t>
      </w:r>
    </w:p>
    <w:p w14:paraId="60F973FC" w14:textId="77777777" w:rsidR="0072478D" w:rsidRDefault="00000000">
      <w:pPr>
        <w:pStyle w:val="ListBullet"/>
      </w:pPr>
      <w:r>
        <w:rPr>
          <w:rFonts w:ascii="Arial" w:hAnsi="Arial"/>
        </w:rPr>
        <w:t>Meet at least annually and additionally where significant impartiality risks, consultant/referral concerns, complaints, appeals, external assessment findings, regulatory changes or governance changes require review.</w:t>
      </w:r>
    </w:p>
    <w:p w14:paraId="5CE37B2A" w14:textId="77777777" w:rsidR="0072478D" w:rsidRDefault="00000000">
      <w:pPr>
        <w:pStyle w:val="ListBullet"/>
      </w:pPr>
      <w:r>
        <w:rPr>
          <w:rFonts w:ascii="Arial" w:hAnsi="Arial"/>
        </w:rPr>
        <w:t>Meetings may be held online, in person or by hybrid arrangement.</w:t>
      </w:r>
    </w:p>
    <w:p w14:paraId="1DF8D453" w14:textId="77777777" w:rsidR="0072478D" w:rsidRDefault="00000000">
      <w:pPr>
        <w:pStyle w:val="ListBullet"/>
      </w:pPr>
      <w:r>
        <w:rPr>
          <w:rFonts w:ascii="Arial" w:hAnsi="Arial"/>
        </w:rPr>
        <w:t>Quorum must be defined in the Terms of Reference and should include sufficient independent participation to prevent one interest from dominating deliberations.</w:t>
      </w:r>
    </w:p>
    <w:p w14:paraId="6DF6345D" w14:textId="77777777" w:rsidR="0072478D" w:rsidRDefault="00000000">
      <w:pPr>
        <w:pStyle w:val="ListBullet"/>
      </w:pPr>
      <w:r>
        <w:rPr>
          <w:rFonts w:ascii="Arial" w:hAnsi="Arial"/>
        </w:rPr>
        <w:t>Members must declare conflicts at the start of each meeting and before discussion of any affected agenda item.</w:t>
      </w:r>
    </w:p>
    <w:p w14:paraId="1943C72D" w14:textId="77777777" w:rsidR="0072478D" w:rsidRDefault="00000000">
      <w:pPr>
        <w:pStyle w:val="ListBullet"/>
      </w:pPr>
      <w:r>
        <w:rPr>
          <w:rFonts w:ascii="Arial" w:hAnsi="Arial"/>
        </w:rPr>
        <w:t>Minutes must record attendance, apologies, declarations, documents reviewed, key deliberations, dissenting views where relevant, recommendations, actions, responsible persons, due dates and management responses.</w:t>
      </w:r>
    </w:p>
    <w:p w14:paraId="583CD8B2" w14:textId="77777777" w:rsidR="0072478D" w:rsidRDefault="00000000">
      <w:pPr>
        <w:pStyle w:val="ListBullet"/>
      </w:pPr>
      <w:r>
        <w:rPr>
          <w:rFonts w:ascii="Arial" w:hAnsi="Arial"/>
        </w:rPr>
        <w:t>Records must be controlled, retained and made available for regulatory or accreditation review where required.</w:t>
      </w:r>
    </w:p>
    <w:p w14:paraId="31520C37" w14:textId="77777777" w:rsidR="0072478D" w:rsidRDefault="00000000">
      <w:pPr>
        <w:pStyle w:val="Heading1"/>
      </w:pPr>
      <w:r>
        <w:rPr>
          <w:rFonts w:ascii="Arial" w:hAnsi="Arial"/>
          <w:color w:val="003B5C"/>
          <w:sz w:val="28"/>
        </w:rPr>
        <w:lastRenderedPageBreak/>
        <w:t>9. Competence, Induction, Declarations and Checks</w:t>
      </w:r>
    </w:p>
    <w:tbl>
      <w:tblPr>
        <w:tblStyle w:val="TableGrid"/>
        <w:tblW w:w="0" w:type="auto"/>
        <w:jc w:val="center"/>
        <w:tblLook w:val="04A0" w:firstRow="1" w:lastRow="0" w:firstColumn="1" w:lastColumn="0" w:noHBand="0" w:noVBand="1"/>
      </w:tblPr>
      <w:tblGrid>
        <w:gridCol w:w="5012"/>
        <w:gridCol w:w="5012"/>
      </w:tblGrid>
      <w:tr w:rsidR="0072478D" w14:paraId="077C513B" w14:textId="77777777">
        <w:trPr>
          <w:jc w:val="center"/>
        </w:trPr>
        <w:tc>
          <w:tcPr>
            <w:tcW w:w="5017" w:type="dxa"/>
            <w:shd w:val="clear" w:color="auto" w:fill="003B5C"/>
          </w:tcPr>
          <w:p w14:paraId="33AB74DF" w14:textId="77777777" w:rsidR="0072478D" w:rsidRDefault="00000000">
            <w:r>
              <w:rPr>
                <w:rFonts w:ascii="Arial" w:hAnsi="Arial"/>
                <w:b/>
                <w:color w:val="FFFFFF"/>
                <w:sz w:val="17"/>
              </w:rPr>
              <w:t>Requirement</w:t>
            </w:r>
          </w:p>
        </w:tc>
        <w:tc>
          <w:tcPr>
            <w:tcW w:w="5017" w:type="dxa"/>
            <w:shd w:val="clear" w:color="auto" w:fill="003B5C"/>
          </w:tcPr>
          <w:p w14:paraId="53AF4F26" w14:textId="77777777" w:rsidR="0072478D" w:rsidRDefault="00000000">
            <w:r>
              <w:rPr>
                <w:rFonts w:ascii="Arial" w:hAnsi="Arial"/>
                <w:b/>
                <w:color w:val="FFFFFF"/>
                <w:sz w:val="17"/>
              </w:rPr>
              <w:t>Expectation</w:t>
            </w:r>
          </w:p>
        </w:tc>
      </w:tr>
      <w:tr w:rsidR="0072478D" w14:paraId="1C780F1D" w14:textId="77777777">
        <w:trPr>
          <w:jc w:val="center"/>
        </w:trPr>
        <w:tc>
          <w:tcPr>
            <w:tcW w:w="5017" w:type="dxa"/>
            <w:shd w:val="clear" w:color="auto" w:fill="EAF3F8"/>
          </w:tcPr>
          <w:p w14:paraId="4744F18A" w14:textId="77777777" w:rsidR="0072478D" w:rsidRDefault="00000000">
            <w:r>
              <w:rPr>
                <w:rFonts w:ascii="Arial" w:hAnsi="Arial"/>
                <w:b/>
                <w:color w:val="003B5C"/>
                <w:sz w:val="17"/>
              </w:rPr>
              <w:t>Education</w:t>
            </w:r>
          </w:p>
        </w:tc>
        <w:tc>
          <w:tcPr>
            <w:tcW w:w="5017" w:type="dxa"/>
            <w:shd w:val="clear" w:color="auto" w:fill="F2F2F2"/>
          </w:tcPr>
          <w:p w14:paraId="3AF3224F" w14:textId="77777777" w:rsidR="0072478D" w:rsidRDefault="00000000">
            <w:r>
              <w:rPr>
                <w:rFonts w:ascii="Arial" w:hAnsi="Arial"/>
                <w:sz w:val="17"/>
              </w:rPr>
              <w:t>No single qualification is prescribed for the committee as a whole. Members are appointed to provide a balanced combination of relevant knowledge, independence and stakeholder perspective.</w:t>
            </w:r>
          </w:p>
        </w:tc>
      </w:tr>
      <w:tr w:rsidR="0072478D" w14:paraId="1DAE5CAB" w14:textId="77777777">
        <w:trPr>
          <w:jc w:val="center"/>
        </w:trPr>
        <w:tc>
          <w:tcPr>
            <w:tcW w:w="5017" w:type="dxa"/>
            <w:shd w:val="clear" w:color="auto" w:fill="EAF3F8"/>
          </w:tcPr>
          <w:p w14:paraId="44E879EA" w14:textId="77777777" w:rsidR="0072478D" w:rsidRDefault="00000000">
            <w:r>
              <w:rPr>
                <w:rFonts w:ascii="Arial" w:hAnsi="Arial"/>
                <w:b/>
                <w:color w:val="003B5C"/>
                <w:sz w:val="17"/>
              </w:rPr>
              <w:t>Training and induction</w:t>
            </w:r>
          </w:p>
        </w:tc>
        <w:tc>
          <w:tcPr>
            <w:tcW w:w="5017" w:type="dxa"/>
          </w:tcPr>
          <w:p w14:paraId="2599F08F" w14:textId="77777777" w:rsidR="0072478D" w:rsidRDefault="00000000">
            <w:r>
              <w:rPr>
                <w:rFonts w:ascii="Arial" w:hAnsi="Arial"/>
                <w:sz w:val="17"/>
              </w:rPr>
              <w:t>Committee induction; confidentiality, impartiality and conflict-of-interest training; Australian QC governance and management system awareness; ISO/IEC 17065 awareness; NDIS AQA and AQA Code of Conduct awareness; consultant/referral risk awareness; complaints, appeals and escalation awareness.</w:t>
            </w:r>
          </w:p>
        </w:tc>
      </w:tr>
      <w:tr w:rsidR="0072478D" w14:paraId="41BFF925" w14:textId="77777777">
        <w:trPr>
          <w:jc w:val="center"/>
        </w:trPr>
        <w:tc>
          <w:tcPr>
            <w:tcW w:w="5017" w:type="dxa"/>
            <w:shd w:val="clear" w:color="auto" w:fill="EAF3F8"/>
          </w:tcPr>
          <w:p w14:paraId="4525C0DF" w14:textId="77777777" w:rsidR="0072478D" w:rsidRDefault="00000000">
            <w:r>
              <w:rPr>
                <w:rFonts w:ascii="Arial" w:hAnsi="Arial"/>
                <w:b/>
                <w:color w:val="003B5C"/>
                <w:sz w:val="17"/>
              </w:rPr>
              <w:t>Experience</w:t>
            </w:r>
          </w:p>
        </w:tc>
        <w:tc>
          <w:tcPr>
            <w:tcW w:w="5017" w:type="dxa"/>
            <w:shd w:val="clear" w:color="auto" w:fill="F2F2F2"/>
          </w:tcPr>
          <w:p w14:paraId="5465000E" w14:textId="77777777" w:rsidR="0072478D" w:rsidRDefault="00000000">
            <w:r>
              <w:rPr>
                <w:rFonts w:ascii="Arial" w:hAnsi="Arial"/>
                <w:sz w:val="17"/>
              </w:rPr>
              <w:t>Relevant experience or perspective in governance, disability/NDIS, safeguarding, participant rights, community representation, certification, accreditation, quality management, auditing, risk, compliance, ethics, law, complaints/appeals or stakeholder engagement.</w:t>
            </w:r>
          </w:p>
        </w:tc>
      </w:tr>
      <w:tr w:rsidR="0072478D" w14:paraId="7BCB230E" w14:textId="77777777">
        <w:trPr>
          <w:jc w:val="center"/>
        </w:trPr>
        <w:tc>
          <w:tcPr>
            <w:tcW w:w="5017" w:type="dxa"/>
            <w:shd w:val="clear" w:color="auto" w:fill="EAF3F8"/>
          </w:tcPr>
          <w:p w14:paraId="7CC5D508" w14:textId="77777777" w:rsidR="0072478D" w:rsidRDefault="00000000">
            <w:r>
              <w:rPr>
                <w:rFonts w:ascii="Arial" w:hAnsi="Arial"/>
                <w:b/>
                <w:color w:val="003B5C"/>
                <w:sz w:val="17"/>
              </w:rPr>
              <w:t>Skills</w:t>
            </w:r>
          </w:p>
        </w:tc>
        <w:tc>
          <w:tcPr>
            <w:tcW w:w="5017" w:type="dxa"/>
          </w:tcPr>
          <w:p w14:paraId="4C8A96E1" w14:textId="77777777" w:rsidR="0072478D" w:rsidRDefault="00000000">
            <w:r>
              <w:rPr>
                <w:rFonts w:ascii="Arial" w:hAnsi="Arial"/>
                <w:sz w:val="17"/>
              </w:rPr>
              <w:t>Independent judgement, ethical conduct, confidentiality, conflict identification, risk review, evidence-based challenge, professional communication, cultural awareness, safeguarding awareness and ability to review records and recommendations objectively.</w:t>
            </w:r>
          </w:p>
        </w:tc>
      </w:tr>
      <w:tr w:rsidR="0072478D" w14:paraId="05D35DF5" w14:textId="77777777">
        <w:trPr>
          <w:jc w:val="center"/>
        </w:trPr>
        <w:tc>
          <w:tcPr>
            <w:tcW w:w="5017" w:type="dxa"/>
            <w:shd w:val="clear" w:color="auto" w:fill="EAF3F8"/>
          </w:tcPr>
          <w:p w14:paraId="3B0CD0D0" w14:textId="77777777" w:rsidR="0072478D" w:rsidRDefault="00000000">
            <w:r>
              <w:rPr>
                <w:rFonts w:ascii="Arial" w:hAnsi="Arial"/>
                <w:b/>
                <w:color w:val="003B5C"/>
                <w:sz w:val="17"/>
              </w:rPr>
              <w:t>Declarations</w:t>
            </w:r>
          </w:p>
        </w:tc>
        <w:tc>
          <w:tcPr>
            <w:tcW w:w="5017" w:type="dxa"/>
            <w:shd w:val="clear" w:color="auto" w:fill="F2F2F2"/>
          </w:tcPr>
          <w:p w14:paraId="75B397CC" w14:textId="77777777" w:rsidR="0072478D" w:rsidRDefault="00000000">
            <w:r>
              <w:rPr>
                <w:rFonts w:ascii="Arial" w:hAnsi="Arial"/>
                <w:sz w:val="17"/>
              </w:rPr>
              <w:t>Confidentiality, impartiality and conflict-of-interest declarations must be completed before participation, annually and whenever circumstances change.</w:t>
            </w:r>
          </w:p>
        </w:tc>
      </w:tr>
      <w:tr w:rsidR="0072478D" w14:paraId="32157861" w14:textId="77777777">
        <w:trPr>
          <w:jc w:val="center"/>
        </w:trPr>
        <w:tc>
          <w:tcPr>
            <w:tcW w:w="5017" w:type="dxa"/>
            <w:shd w:val="clear" w:color="auto" w:fill="EAF3F8"/>
          </w:tcPr>
          <w:p w14:paraId="18C82266" w14:textId="77777777" w:rsidR="0072478D" w:rsidRDefault="00000000">
            <w:r>
              <w:rPr>
                <w:rFonts w:ascii="Arial" w:hAnsi="Arial"/>
                <w:b/>
                <w:color w:val="003B5C"/>
                <w:sz w:val="17"/>
              </w:rPr>
              <w:t>Checks</w:t>
            </w:r>
          </w:p>
        </w:tc>
        <w:tc>
          <w:tcPr>
            <w:tcW w:w="5017" w:type="dxa"/>
          </w:tcPr>
          <w:p w14:paraId="50DC64D7" w14:textId="77777777" w:rsidR="0072478D" w:rsidRDefault="00000000">
            <w:r>
              <w:rPr>
                <w:rFonts w:ascii="Arial" w:hAnsi="Arial"/>
                <w:sz w:val="17"/>
              </w:rPr>
              <w:t>National Police Check, Working with Children Check or other checks may be required where Australian QC determines that access to information, scheme requirements or governance arrangements make such checks necessary.</w:t>
            </w:r>
          </w:p>
        </w:tc>
      </w:tr>
      <w:tr w:rsidR="0072478D" w14:paraId="12085B49" w14:textId="77777777">
        <w:trPr>
          <w:jc w:val="center"/>
        </w:trPr>
        <w:tc>
          <w:tcPr>
            <w:tcW w:w="5017" w:type="dxa"/>
            <w:shd w:val="clear" w:color="auto" w:fill="EAF3F8"/>
          </w:tcPr>
          <w:p w14:paraId="7CB7E6C5" w14:textId="77777777" w:rsidR="0072478D" w:rsidRDefault="00000000">
            <w:r>
              <w:rPr>
                <w:rFonts w:ascii="Arial" w:hAnsi="Arial"/>
                <w:b/>
                <w:color w:val="003B5C"/>
                <w:sz w:val="17"/>
              </w:rPr>
              <w:t>Competency evidence</w:t>
            </w:r>
          </w:p>
        </w:tc>
        <w:tc>
          <w:tcPr>
            <w:tcW w:w="5017" w:type="dxa"/>
            <w:shd w:val="clear" w:color="auto" w:fill="F2F2F2"/>
          </w:tcPr>
          <w:p w14:paraId="361D02FC" w14:textId="77777777" w:rsidR="0072478D" w:rsidRDefault="00000000">
            <w:r>
              <w:rPr>
                <w:rFonts w:ascii="Arial" w:hAnsi="Arial"/>
                <w:sz w:val="17"/>
              </w:rPr>
              <w:t>Refer to the Impartiality Committee Terms of Reference, committee member register, induction records, declarations, meeting attendance records and relevant competence records.</w:t>
            </w:r>
          </w:p>
        </w:tc>
      </w:tr>
    </w:tbl>
    <w:p w14:paraId="65A2BBE9" w14:textId="77777777" w:rsidR="0072478D" w:rsidRDefault="00000000">
      <w:pPr>
        <w:pStyle w:val="Heading1"/>
      </w:pPr>
      <w:r>
        <w:rPr>
          <w:rFonts w:ascii="Arial" w:hAnsi="Arial"/>
          <w:color w:val="003B5C"/>
          <w:sz w:val="28"/>
        </w:rPr>
        <w:t>10. Limits of Authority and Safeguards</w:t>
      </w:r>
    </w:p>
    <w:p w14:paraId="2F0FC2EC" w14:textId="77777777" w:rsidR="0072478D" w:rsidRDefault="00000000">
      <w:pPr>
        <w:pStyle w:val="ListBullet"/>
      </w:pPr>
      <w:r>
        <w:rPr>
          <w:rFonts w:ascii="Arial" w:hAnsi="Arial"/>
        </w:rPr>
        <w:t>The Committee must not provide consultancy to Australian QC clients or prospective clients in relation to services, systems or processes that are subject to Australian QC audit or certification activities.</w:t>
      </w:r>
    </w:p>
    <w:p w14:paraId="0AB59315" w14:textId="77777777" w:rsidR="0072478D" w:rsidRDefault="00000000">
      <w:pPr>
        <w:pStyle w:val="ListBullet"/>
      </w:pPr>
      <w:r>
        <w:rPr>
          <w:rFonts w:ascii="Arial" w:hAnsi="Arial"/>
        </w:rPr>
        <w:t>The Committee must not accept or offer referral fees, commissions, success-based payments, revenue shares, lead-purchase benefits, gifts, hospitality or other advantages connected with Australian QC audit or certification work.</w:t>
      </w:r>
    </w:p>
    <w:p w14:paraId="72D83AB5" w14:textId="77777777" w:rsidR="0072478D" w:rsidRDefault="00000000">
      <w:pPr>
        <w:pStyle w:val="ListBullet"/>
      </w:pPr>
      <w:r>
        <w:rPr>
          <w:rFonts w:ascii="Arial" w:hAnsi="Arial"/>
        </w:rPr>
        <w:t>The Committee must not direct audit outcomes, certification decisions, audit scheduling, pricing, client acquisition or commercial strategy.</w:t>
      </w:r>
    </w:p>
    <w:p w14:paraId="6C5126CA" w14:textId="77777777" w:rsidR="0072478D" w:rsidRDefault="00000000">
      <w:pPr>
        <w:pStyle w:val="ListBullet"/>
      </w:pPr>
      <w:r>
        <w:rPr>
          <w:rFonts w:ascii="Arial" w:hAnsi="Arial"/>
        </w:rPr>
        <w:t>The Committee must not make certification decisions unless a separate decision-making function is documented and the member is competent, authorised, impartial and independent from the relevant audit/evaluation activity.</w:t>
      </w:r>
    </w:p>
    <w:p w14:paraId="004A0919" w14:textId="77777777" w:rsidR="0072478D" w:rsidRDefault="00000000">
      <w:pPr>
        <w:pStyle w:val="ListBullet"/>
      </w:pPr>
      <w:r>
        <w:rPr>
          <w:rFonts w:ascii="Arial" w:hAnsi="Arial"/>
        </w:rPr>
        <w:t>The Committee must not use confidential information for any unauthorised purpose or disclose confidential information outside approved channels.</w:t>
      </w:r>
    </w:p>
    <w:p w14:paraId="334BC558" w14:textId="77777777" w:rsidR="0072478D" w:rsidRDefault="00000000">
      <w:pPr>
        <w:pStyle w:val="ListBullet"/>
      </w:pPr>
      <w:r>
        <w:rPr>
          <w:rFonts w:ascii="Arial" w:hAnsi="Arial"/>
        </w:rPr>
        <w:t>The Committee must not pressure auditors, reviewers, coordinators, management personnel or certification decision-makers to reach outcomes based on commercial, relationship, scheduling or client preference objectives.</w:t>
      </w:r>
    </w:p>
    <w:p w14:paraId="7CDEA2D3" w14:textId="77777777" w:rsidR="0072478D" w:rsidRDefault="00000000">
      <w:pPr>
        <w:pStyle w:val="ListBullet"/>
      </w:pPr>
      <w:r>
        <w:rPr>
          <w:rFonts w:ascii="Arial" w:hAnsi="Arial"/>
        </w:rPr>
        <w:t>Any suspected confidentiality breach, conflict of interest, data integrity issue, competence limitation or undue influence must be declared and escalated before the affected review activity continues.</w:t>
      </w:r>
    </w:p>
    <w:p w14:paraId="0419696C" w14:textId="77777777" w:rsidR="0072478D" w:rsidRDefault="00000000">
      <w:pPr>
        <w:pStyle w:val="Heading1"/>
      </w:pPr>
      <w:r>
        <w:rPr>
          <w:rFonts w:ascii="Arial" w:hAnsi="Arial"/>
          <w:color w:val="003B5C"/>
          <w:sz w:val="28"/>
        </w:rPr>
        <w:t>11. Performance Expectations</w:t>
      </w:r>
    </w:p>
    <w:p w14:paraId="5DEE15F2" w14:textId="77777777" w:rsidR="0072478D" w:rsidRDefault="00000000">
      <w:pPr>
        <w:pStyle w:val="ListBullet"/>
      </w:pPr>
      <w:r>
        <w:rPr>
          <w:rFonts w:ascii="Arial" w:hAnsi="Arial"/>
        </w:rPr>
        <w:t>Impartiality risks are reviewed at least annually and whenever material risks arise.</w:t>
      </w:r>
    </w:p>
    <w:p w14:paraId="11CCCA38" w14:textId="77777777" w:rsidR="0072478D" w:rsidRDefault="00000000">
      <w:pPr>
        <w:pStyle w:val="ListBullet"/>
      </w:pPr>
      <w:r>
        <w:rPr>
          <w:rFonts w:ascii="Arial" w:hAnsi="Arial"/>
        </w:rPr>
        <w:t>Registers, risk assessments, minutes, recommendations, action items and management responses are recorded and controlled.</w:t>
      </w:r>
    </w:p>
    <w:p w14:paraId="78768FFF" w14:textId="77777777" w:rsidR="0072478D" w:rsidRDefault="00000000">
      <w:pPr>
        <w:pStyle w:val="ListBullet"/>
      </w:pPr>
      <w:r>
        <w:rPr>
          <w:rFonts w:ascii="Arial" w:hAnsi="Arial"/>
        </w:rPr>
        <w:t>Consultant/referral-source risks, gifts/benefits, auditor external interests and conflicts of interest are reviewed and escalated where required.</w:t>
      </w:r>
    </w:p>
    <w:p w14:paraId="777F18AD" w14:textId="77777777" w:rsidR="0072478D" w:rsidRDefault="00000000">
      <w:pPr>
        <w:pStyle w:val="ListBullet"/>
      </w:pPr>
      <w:r>
        <w:rPr>
          <w:rFonts w:ascii="Arial" w:hAnsi="Arial"/>
        </w:rPr>
        <w:t>Committee recommendations are clear, evidence-based, traceable and followed up to closure or documented management decision.</w:t>
      </w:r>
    </w:p>
    <w:p w14:paraId="61E2AC8B" w14:textId="77777777" w:rsidR="0072478D" w:rsidRDefault="00000000">
      <w:pPr>
        <w:pStyle w:val="ListBullet"/>
      </w:pPr>
      <w:r>
        <w:rPr>
          <w:rFonts w:ascii="Arial" w:hAnsi="Arial"/>
        </w:rPr>
        <w:t>Committee composition remains suitable, balanced and effective, with no single interest predominating.</w:t>
      </w:r>
    </w:p>
    <w:p w14:paraId="50022889" w14:textId="77777777" w:rsidR="0072478D" w:rsidRDefault="00000000">
      <w:pPr>
        <w:pStyle w:val="ListBullet"/>
      </w:pPr>
      <w:r>
        <w:rPr>
          <w:rFonts w:ascii="Arial" w:hAnsi="Arial"/>
        </w:rPr>
        <w:t>Significant impartiality concerns are escalated promptly through approved governance channels.</w:t>
      </w:r>
    </w:p>
    <w:p w14:paraId="7DD9FA04" w14:textId="77777777" w:rsidR="0072478D" w:rsidRDefault="00000000">
      <w:pPr>
        <w:pStyle w:val="ListBullet"/>
      </w:pPr>
      <w:r>
        <w:rPr>
          <w:rFonts w:ascii="Arial" w:hAnsi="Arial"/>
        </w:rPr>
        <w:t>Committee activities support certification confidence, participant safeguarding, fairness, objectivity, public trust and continual improvement.</w:t>
      </w:r>
    </w:p>
    <w:p w14:paraId="2E595B06" w14:textId="77777777" w:rsidR="0072478D" w:rsidRDefault="00000000">
      <w:pPr>
        <w:pStyle w:val="Heading1"/>
      </w:pPr>
      <w:r>
        <w:rPr>
          <w:rFonts w:ascii="Arial" w:hAnsi="Arial"/>
          <w:color w:val="003B5C"/>
          <w:sz w:val="28"/>
        </w:rPr>
        <w:lastRenderedPageBreak/>
        <w:t>12. Delegation and Transition Arrangements</w:t>
      </w:r>
    </w:p>
    <w:p w14:paraId="3505BA7D" w14:textId="77777777" w:rsidR="0072478D" w:rsidRDefault="00000000">
      <w:pPr>
        <w:pStyle w:val="ListBullet"/>
      </w:pPr>
      <w:r>
        <w:rPr>
          <w:rFonts w:ascii="Arial" w:hAnsi="Arial"/>
        </w:rPr>
        <w:t>Appointment, replacement, temporary participation or alternate arrangements must be documented and must define scope, authority, confidentiality, conflict-of-interest, independence and records requirements.</w:t>
      </w:r>
    </w:p>
    <w:p w14:paraId="37D027ED" w14:textId="77777777" w:rsidR="0072478D" w:rsidRDefault="00000000">
      <w:pPr>
        <w:pStyle w:val="ListBullet"/>
      </w:pPr>
      <w:r>
        <w:rPr>
          <w:rFonts w:ascii="Arial" w:hAnsi="Arial"/>
        </w:rPr>
        <w:t>During a committee transition or reconstitution period, the impartiality mechanism must remain active through documented interim controls, register review, risk assessment, escalation to Top Management and, where needed, independent external review.</w:t>
      </w:r>
    </w:p>
    <w:p w14:paraId="479872C2" w14:textId="77777777" w:rsidR="0072478D" w:rsidRDefault="00000000">
      <w:pPr>
        <w:pStyle w:val="ListBullet"/>
      </w:pPr>
      <w:r>
        <w:rPr>
          <w:rFonts w:ascii="Arial" w:hAnsi="Arial"/>
        </w:rPr>
        <w:t>All transition-period impartiality matters, decisions and actions must be recorded and tabled at the first meeting of the reconstituted Committee.</w:t>
      </w:r>
    </w:p>
    <w:p w14:paraId="3E775724" w14:textId="77777777" w:rsidR="0072478D" w:rsidRDefault="00000000">
      <w:pPr>
        <w:pStyle w:val="ListBullet"/>
      </w:pPr>
      <w:r>
        <w:rPr>
          <w:rFonts w:ascii="Arial" w:hAnsi="Arial"/>
        </w:rPr>
        <w:t>Any alternate, temporary or additional member must meet applicable confidentiality, impartiality, competence and conflict-of-interest requirements before participating.</w:t>
      </w:r>
    </w:p>
    <w:p w14:paraId="0356D1AE" w14:textId="77777777" w:rsidR="0072478D" w:rsidRDefault="00000000">
      <w:pPr>
        <w:pStyle w:val="Heading1"/>
      </w:pPr>
      <w:r>
        <w:rPr>
          <w:rFonts w:ascii="Arial" w:hAnsi="Arial"/>
          <w:color w:val="003B5C"/>
          <w:sz w:val="28"/>
        </w:rPr>
        <w:t>13. Related Documents and Records</w:t>
      </w:r>
    </w:p>
    <w:p w14:paraId="34B6AC45" w14:textId="77777777" w:rsidR="0072478D" w:rsidRDefault="00000000">
      <w:pPr>
        <w:pStyle w:val="ListBullet"/>
      </w:pPr>
      <w:r>
        <w:rPr>
          <w:rFonts w:ascii="Arial" w:hAnsi="Arial"/>
        </w:rPr>
        <w:t>Quality Manual and Management System Procedures.</w:t>
      </w:r>
    </w:p>
    <w:p w14:paraId="5EFBA569" w14:textId="77777777" w:rsidR="0072478D" w:rsidRDefault="00000000">
      <w:pPr>
        <w:pStyle w:val="ListBullet"/>
      </w:pPr>
      <w:r>
        <w:rPr>
          <w:rFonts w:ascii="Arial" w:hAnsi="Arial"/>
        </w:rPr>
        <w:t>Impartiality Policy and Impartiality Committee Terms of Reference.</w:t>
      </w:r>
    </w:p>
    <w:p w14:paraId="77059EE2" w14:textId="77777777" w:rsidR="0072478D" w:rsidRDefault="00000000">
      <w:pPr>
        <w:pStyle w:val="ListBullet"/>
      </w:pPr>
      <w:r>
        <w:rPr>
          <w:rFonts w:ascii="Arial" w:hAnsi="Arial"/>
        </w:rPr>
        <w:t>Impartiality Register, Engagement Risk Log, Consultant and Referral Relationship Register and Gifts/Benefits Register.</w:t>
      </w:r>
    </w:p>
    <w:p w14:paraId="2DAD39F7" w14:textId="77777777" w:rsidR="0072478D" w:rsidRDefault="00000000">
      <w:pPr>
        <w:pStyle w:val="ListBullet"/>
      </w:pPr>
      <w:r>
        <w:rPr>
          <w:rFonts w:ascii="Arial" w:hAnsi="Arial"/>
        </w:rPr>
        <w:t>Conflict of Interest Register, Declaration Log, Auditor External Interests Register and Governance Risk Register.</w:t>
      </w:r>
    </w:p>
    <w:p w14:paraId="699587ED" w14:textId="77777777" w:rsidR="0072478D" w:rsidRDefault="00000000">
      <w:pPr>
        <w:pStyle w:val="ListBullet"/>
      </w:pPr>
      <w:r>
        <w:rPr>
          <w:rFonts w:ascii="Arial" w:hAnsi="Arial"/>
        </w:rPr>
        <w:t>Certification Procedure, Audit Planning Procedure, Audit Scheduling Procedure, Audit Report Review Procedure, Technical Review Procedure and Certification Decision Procedure.</w:t>
      </w:r>
    </w:p>
    <w:p w14:paraId="288C8F14" w14:textId="77777777" w:rsidR="0072478D" w:rsidRDefault="00000000">
      <w:pPr>
        <w:pStyle w:val="ListBullet"/>
      </w:pPr>
      <w:r>
        <w:rPr>
          <w:rFonts w:ascii="Arial" w:hAnsi="Arial"/>
        </w:rPr>
        <w:t>Complaints and Appeals Procedure, Whistleblowing/Ethical Reporting Procedure and independent panel arrangements where applicable.</w:t>
      </w:r>
    </w:p>
    <w:p w14:paraId="3359AF09" w14:textId="77777777" w:rsidR="0072478D" w:rsidRDefault="00000000">
      <w:pPr>
        <w:pStyle w:val="ListBullet"/>
      </w:pPr>
      <w:r>
        <w:rPr>
          <w:rFonts w:ascii="Arial" w:hAnsi="Arial"/>
        </w:rPr>
        <w:t>Internal Audit Procedure, Management Review Procedure, Corrective Action Procedure, Preventive Action Register and Continuous Improvement Register.</w:t>
      </w:r>
    </w:p>
    <w:p w14:paraId="129CABA9" w14:textId="77777777" w:rsidR="0072478D" w:rsidRDefault="00000000">
      <w:pPr>
        <w:pStyle w:val="ListBullet"/>
      </w:pPr>
      <w:r>
        <w:rPr>
          <w:rFonts w:ascii="Arial" w:hAnsi="Arial"/>
        </w:rPr>
        <w:t>Website Update Tracker, public information controls and application form consultant/referral disclosure records.</w:t>
      </w:r>
    </w:p>
    <w:p w14:paraId="1F723F80" w14:textId="77777777" w:rsidR="0072478D" w:rsidRDefault="00000000">
      <w:pPr>
        <w:pStyle w:val="ListBullet"/>
      </w:pPr>
      <w:r>
        <w:rPr>
          <w:rFonts w:ascii="Arial" w:hAnsi="Arial"/>
        </w:rPr>
        <w:t>Notification and Change Log, organisational chart, job descriptions, authority matrix and delegation records.</w:t>
      </w:r>
    </w:p>
    <w:p w14:paraId="7CFAC173" w14:textId="77777777" w:rsidR="0072478D" w:rsidRDefault="00000000">
      <w:pPr>
        <w:pStyle w:val="ListBullet"/>
      </w:pPr>
      <w:r>
        <w:rPr>
          <w:rFonts w:ascii="Arial" w:hAnsi="Arial"/>
        </w:rPr>
        <w:t>Committee agenda, minutes, attendance records, declarations, recommendations, action register and management responses.</w:t>
      </w:r>
    </w:p>
    <w:p w14:paraId="3ADC6292" w14:textId="77777777" w:rsidR="0072478D" w:rsidRDefault="00000000">
      <w:pPr>
        <w:pStyle w:val="ListBullet"/>
      </w:pPr>
      <w:r>
        <w:rPr>
          <w:rFonts w:ascii="Arial" w:hAnsi="Arial"/>
        </w:rPr>
        <w:t>Applicable ISO/IEC 17065, ISO 19011, NDIS Commission, NDIS AQA, JAS-ANZ and other relevant scheme owner requirements.</w:t>
      </w:r>
    </w:p>
    <w:p w14:paraId="33BE5661" w14:textId="77777777" w:rsidR="0072478D" w:rsidRDefault="00000000">
      <w:pPr>
        <w:pStyle w:val="Heading1"/>
      </w:pPr>
      <w:r>
        <w:rPr>
          <w:rFonts w:ascii="Arial" w:hAnsi="Arial"/>
          <w:color w:val="003B5C"/>
          <w:sz w:val="28"/>
        </w:rPr>
        <w:t>14. Acceptance</w:t>
      </w:r>
    </w:p>
    <w:p w14:paraId="28048AD3" w14:textId="77777777" w:rsidR="0072478D" w:rsidRDefault="00000000">
      <w:r>
        <w:rPr>
          <w:rFonts w:ascii="Arial" w:hAnsi="Arial"/>
        </w:rPr>
        <w:t>I acknowledge that I have read and understood this job description and agree to perform the role in accordance with the responsibilities, authorities, limits of authority, confidentiality requirements, impartiality requirements, conflict-of-interest requirements, committee terms of reference and applicable Australian QC procedures.</w:t>
      </w:r>
    </w:p>
    <w:tbl>
      <w:tblPr>
        <w:tblStyle w:val="TableGrid"/>
        <w:tblW w:w="0" w:type="auto"/>
        <w:jc w:val="center"/>
        <w:tblLook w:val="04A0" w:firstRow="1" w:lastRow="0" w:firstColumn="1" w:lastColumn="0" w:noHBand="0" w:noVBand="1"/>
      </w:tblPr>
      <w:tblGrid>
        <w:gridCol w:w="2506"/>
        <w:gridCol w:w="2506"/>
        <w:gridCol w:w="2506"/>
        <w:gridCol w:w="2506"/>
      </w:tblGrid>
      <w:tr w:rsidR="0072478D" w14:paraId="60E4254E" w14:textId="77777777">
        <w:trPr>
          <w:jc w:val="center"/>
        </w:trPr>
        <w:tc>
          <w:tcPr>
            <w:tcW w:w="2508" w:type="dxa"/>
            <w:shd w:val="clear" w:color="auto" w:fill="EAF3F8"/>
          </w:tcPr>
          <w:p w14:paraId="514E9459" w14:textId="77777777" w:rsidR="0072478D" w:rsidRDefault="00000000">
            <w:r>
              <w:rPr>
                <w:rFonts w:ascii="Arial" w:hAnsi="Arial"/>
                <w:b/>
                <w:color w:val="003B5C"/>
                <w:sz w:val="16"/>
              </w:rPr>
              <w:t>Accepted / Received by</w:t>
            </w:r>
          </w:p>
        </w:tc>
        <w:tc>
          <w:tcPr>
            <w:tcW w:w="2508" w:type="dxa"/>
          </w:tcPr>
          <w:p w14:paraId="4E9DF00D" w14:textId="77777777" w:rsidR="0072478D" w:rsidRDefault="0072478D"/>
        </w:tc>
        <w:tc>
          <w:tcPr>
            <w:tcW w:w="2508" w:type="dxa"/>
            <w:shd w:val="clear" w:color="auto" w:fill="EAF3F8"/>
          </w:tcPr>
          <w:p w14:paraId="1C0EF4C6" w14:textId="77777777" w:rsidR="0072478D" w:rsidRDefault="00000000">
            <w:r>
              <w:rPr>
                <w:rFonts w:ascii="Arial" w:hAnsi="Arial"/>
                <w:b/>
                <w:color w:val="003B5C"/>
                <w:sz w:val="16"/>
              </w:rPr>
              <w:t>Date</w:t>
            </w:r>
          </w:p>
        </w:tc>
        <w:tc>
          <w:tcPr>
            <w:tcW w:w="2508" w:type="dxa"/>
          </w:tcPr>
          <w:p w14:paraId="04D0FF70" w14:textId="77777777" w:rsidR="0072478D" w:rsidRDefault="0072478D"/>
        </w:tc>
      </w:tr>
      <w:tr w:rsidR="0072478D" w14:paraId="20BD1538" w14:textId="77777777">
        <w:trPr>
          <w:jc w:val="center"/>
        </w:trPr>
        <w:tc>
          <w:tcPr>
            <w:tcW w:w="2508" w:type="dxa"/>
            <w:shd w:val="clear" w:color="auto" w:fill="EAF3F8"/>
          </w:tcPr>
          <w:p w14:paraId="2B781554" w14:textId="77777777" w:rsidR="0072478D" w:rsidRDefault="00000000">
            <w:r>
              <w:rPr>
                <w:rFonts w:ascii="Arial" w:hAnsi="Arial"/>
                <w:b/>
                <w:color w:val="003B5C"/>
                <w:sz w:val="16"/>
              </w:rPr>
              <w:t>Signature</w:t>
            </w:r>
          </w:p>
        </w:tc>
        <w:tc>
          <w:tcPr>
            <w:tcW w:w="2508" w:type="dxa"/>
            <w:shd w:val="clear" w:color="auto" w:fill="F2F2F2"/>
          </w:tcPr>
          <w:p w14:paraId="38D6F1E3" w14:textId="77777777" w:rsidR="0072478D" w:rsidRDefault="0072478D"/>
        </w:tc>
        <w:tc>
          <w:tcPr>
            <w:tcW w:w="2508" w:type="dxa"/>
            <w:shd w:val="clear" w:color="auto" w:fill="EAF3F8"/>
          </w:tcPr>
          <w:p w14:paraId="290A580D" w14:textId="77777777" w:rsidR="0072478D" w:rsidRDefault="00000000">
            <w:r>
              <w:rPr>
                <w:rFonts w:ascii="Arial" w:hAnsi="Arial"/>
                <w:b/>
                <w:color w:val="003B5C"/>
                <w:sz w:val="16"/>
              </w:rPr>
              <w:t>Position</w:t>
            </w:r>
          </w:p>
        </w:tc>
        <w:tc>
          <w:tcPr>
            <w:tcW w:w="2508" w:type="dxa"/>
            <w:shd w:val="clear" w:color="auto" w:fill="F2F2F2"/>
          </w:tcPr>
          <w:p w14:paraId="0CE0A23F" w14:textId="77777777" w:rsidR="0072478D" w:rsidRDefault="00000000">
            <w:r>
              <w:rPr>
                <w:rFonts w:ascii="Arial" w:hAnsi="Arial"/>
                <w:sz w:val="16"/>
              </w:rPr>
              <w:t>Impartiality Committee Member / Chair</w:t>
            </w:r>
          </w:p>
        </w:tc>
      </w:tr>
      <w:tr w:rsidR="0072478D" w14:paraId="392B7391" w14:textId="77777777">
        <w:trPr>
          <w:jc w:val="center"/>
        </w:trPr>
        <w:tc>
          <w:tcPr>
            <w:tcW w:w="2508" w:type="dxa"/>
            <w:shd w:val="clear" w:color="auto" w:fill="EAF3F8"/>
          </w:tcPr>
          <w:p w14:paraId="10E3C004" w14:textId="77777777" w:rsidR="0072478D" w:rsidRDefault="00000000">
            <w:r>
              <w:rPr>
                <w:rFonts w:ascii="Arial" w:hAnsi="Arial"/>
                <w:b/>
                <w:color w:val="003B5C"/>
                <w:sz w:val="16"/>
              </w:rPr>
              <w:t>Approved by</w:t>
            </w:r>
          </w:p>
        </w:tc>
        <w:tc>
          <w:tcPr>
            <w:tcW w:w="2508" w:type="dxa"/>
          </w:tcPr>
          <w:p w14:paraId="0C4A158D" w14:textId="77777777" w:rsidR="0072478D" w:rsidRDefault="0072478D"/>
        </w:tc>
        <w:tc>
          <w:tcPr>
            <w:tcW w:w="2508" w:type="dxa"/>
            <w:shd w:val="clear" w:color="auto" w:fill="EAF3F8"/>
          </w:tcPr>
          <w:p w14:paraId="11296943" w14:textId="77777777" w:rsidR="0072478D" w:rsidRDefault="00000000">
            <w:r>
              <w:rPr>
                <w:rFonts w:ascii="Arial" w:hAnsi="Arial"/>
                <w:b/>
                <w:color w:val="003B5C"/>
                <w:sz w:val="16"/>
              </w:rPr>
              <w:t>Date</w:t>
            </w:r>
          </w:p>
        </w:tc>
        <w:tc>
          <w:tcPr>
            <w:tcW w:w="2508" w:type="dxa"/>
          </w:tcPr>
          <w:p w14:paraId="7CB7FB2A" w14:textId="77777777" w:rsidR="0072478D" w:rsidRDefault="0072478D"/>
        </w:tc>
      </w:tr>
      <w:tr w:rsidR="0072478D" w14:paraId="6C9FC839" w14:textId="77777777">
        <w:trPr>
          <w:jc w:val="center"/>
        </w:trPr>
        <w:tc>
          <w:tcPr>
            <w:tcW w:w="2508" w:type="dxa"/>
            <w:shd w:val="clear" w:color="auto" w:fill="EAF3F8"/>
          </w:tcPr>
          <w:p w14:paraId="52FD5E83" w14:textId="77777777" w:rsidR="0072478D" w:rsidRDefault="00000000">
            <w:r>
              <w:rPr>
                <w:rFonts w:ascii="Arial" w:hAnsi="Arial"/>
                <w:b/>
                <w:color w:val="003B5C"/>
                <w:sz w:val="16"/>
              </w:rPr>
              <w:t>Signature</w:t>
            </w:r>
          </w:p>
        </w:tc>
        <w:tc>
          <w:tcPr>
            <w:tcW w:w="2508" w:type="dxa"/>
            <w:shd w:val="clear" w:color="auto" w:fill="F2F2F2"/>
          </w:tcPr>
          <w:p w14:paraId="5D1FA373" w14:textId="77777777" w:rsidR="0072478D" w:rsidRDefault="0072478D"/>
        </w:tc>
        <w:tc>
          <w:tcPr>
            <w:tcW w:w="2508" w:type="dxa"/>
            <w:shd w:val="clear" w:color="auto" w:fill="EAF3F8"/>
          </w:tcPr>
          <w:p w14:paraId="21CE6725" w14:textId="77777777" w:rsidR="0072478D" w:rsidRDefault="00000000">
            <w:r>
              <w:rPr>
                <w:rFonts w:ascii="Arial" w:hAnsi="Arial"/>
                <w:b/>
                <w:color w:val="003B5C"/>
                <w:sz w:val="16"/>
              </w:rPr>
              <w:t>Position</w:t>
            </w:r>
          </w:p>
        </w:tc>
        <w:tc>
          <w:tcPr>
            <w:tcW w:w="2508" w:type="dxa"/>
            <w:shd w:val="clear" w:color="auto" w:fill="F2F2F2"/>
          </w:tcPr>
          <w:p w14:paraId="0657AD4B" w14:textId="77777777" w:rsidR="0072478D" w:rsidRDefault="00000000">
            <w:r>
              <w:rPr>
                <w:rFonts w:ascii="Arial" w:hAnsi="Arial"/>
                <w:sz w:val="16"/>
              </w:rPr>
              <w:t>Top Management / Authorised Governance Representative</w:t>
            </w:r>
          </w:p>
        </w:tc>
      </w:tr>
      <w:tr w:rsidR="0072478D" w14:paraId="38C6F7A0" w14:textId="77777777">
        <w:trPr>
          <w:jc w:val="center"/>
        </w:trPr>
        <w:tc>
          <w:tcPr>
            <w:tcW w:w="2508" w:type="dxa"/>
            <w:shd w:val="clear" w:color="auto" w:fill="EAF3F8"/>
          </w:tcPr>
          <w:p w14:paraId="48D11277" w14:textId="77777777" w:rsidR="0072478D" w:rsidRDefault="00000000">
            <w:r>
              <w:rPr>
                <w:rFonts w:ascii="Arial" w:hAnsi="Arial"/>
                <w:b/>
                <w:color w:val="003B5C"/>
                <w:sz w:val="16"/>
              </w:rPr>
              <w:t>Next Review Due</w:t>
            </w:r>
          </w:p>
        </w:tc>
        <w:tc>
          <w:tcPr>
            <w:tcW w:w="2508" w:type="dxa"/>
          </w:tcPr>
          <w:p w14:paraId="17BE3E78" w14:textId="77777777" w:rsidR="0072478D" w:rsidRDefault="00000000">
            <w:r>
              <w:rPr>
                <w:rFonts w:ascii="Arial" w:hAnsi="Arial"/>
                <w:sz w:val="16"/>
              </w:rPr>
              <w:t>20/06/2027 or earlier if required</w:t>
            </w:r>
          </w:p>
        </w:tc>
        <w:tc>
          <w:tcPr>
            <w:tcW w:w="2508" w:type="dxa"/>
            <w:shd w:val="clear" w:color="auto" w:fill="EAF3F8"/>
          </w:tcPr>
          <w:p w14:paraId="786F2FE5" w14:textId="77777777" w:rsidR="0072478D" w:rsidRDefault="00000000">
            <w:r>
              <w:rPr>
                <w:rFonts w:ascii="Arial" w:hAnsi="Arial"/>
                <w:b/>
                <w:color w:val="003B5C"/>
                <w:sz w:val="16"/>
              </w:rPr>
              <w:t>Document Owner</w:t>
            </w:r>
          </w:p>
        </w:tc>
        <w:tc>
          <w:tcPr>
            <w:tcW w:w="2508" w:type="dxa"/>
          </w:tcPr>
          <w:p w14:paraId="5C8D6E22" w14:textId="77777777" w:rsidR="0072478D" w:rsidRDefault="00000000">
            <w:r>
              <w:rPr>
                <w:rFonts w:ascii="Arial" w:hAnsi="Arial"/>
                <w:sz w:val="16"/>
              </w:rPr>
              <w:t>Certification Specialist - Technical / Business Administration Manager</w:t>
            </w:r>
          </w:p>
        </w:tc>
      </w:tr>
    </w:tbl>
    <w:p w14:paraId="441696D5" w14:textId="77777777" w:rsidR="00DA0B33" w:rsidRDefault="00DA0B33"/>
    <w:sectPr w:rsidR="00DA0B33" w:rsidSect="00034616">
      <w:headerReference w:type="even" r:id="rId8"/>
      <w:headerReference w:type="default" r:id="rId9"/>
      <w:footerReference w:type="even" r:id="rId10"/>
      <w:footerReference w:type="default" r:id="rId11"/>
      <w:headerReference w:type="first" r:id="rId12"/>
      <w:footerReference w:type="first" r:id="rId13"/>
      <w:pgSz w:w="11906" w:h="16838"/>
      <w:pgMar w:top="1368" w:right="936" w:bottom="792" w:left="936" w:header="216" w:footer="31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AD0795" w14:textId="77777777" w:rsidR="00DA0B33" w:rsidRDefault="00DA0B33">
      <w:pPr>
        <w:spacing w:after="0" w:line="240" w:lineRule="auto"/>
      </w:pPr>
      <w:r>
        <w:separator/>
      </w:r>
    </w:p>
  </w:endnote>
  <w:endnote w:type="continuationSeparator" w:id="0">
    <w:p w14:paraId="00884F00" w14:textId="77777777" w:rsidR="00DA0B33" w:rsidRDefault="00DA0B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0FE31" w14:textId="77777777" w:rsidR="001F56DD" w:rsidRDefault="001F56D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922B9" w14:textId="77777777" w:rsidR="007523AC" w:rsidRDefault="007523AC">
    <w:pPr>
      <w:pStyle w:val="Footer"/>
    </w:pPr>
  </w:p>
  <w:tbl>
    <w:tblPr>
      <w:tblW w:w="0" w:type="auto"/>
      <w:jc w:val="center"/>
      <w:tblLayout w:type="fixed"/>
      <w:tblLook w:val="04A0" w:firstRow="1" w:lastRow="0" w:firstColumn="1" w:lastColumn="0" w:noHBand="0" w:noVBand="1"/>
    </w:tblPr>
    <w:tblGrid>
      <w:gridCol w:w="5131"/>
      <w:gridCol w:w="5131"/>
    </w:tblGrid>
    <w:tr w:rsidR="007523AC" w14:paraId="1A5C8BED" w14:textId="77777777">
      <w:trPr>
        <w:jc w:val="center"/>
      </w:trPr>
      <w:tc>
        <w:tcPr>
          <w:tcW w:w="5131" w:type="dxa"/>
          <w:tcBorders>
            <w:top w:val="nil"/>
            <w:left w:val="nil"/>
            <w:bottom w:val="nil"/>
            <w:right w:val="nil"/>
          </w:tcBorders>
        </w:tcPr>
        <w:p w14:paraId="08D5F4D8" w14:textId="77777777" w:rsidR="007523AC" w:rsidRDefault="00000000">
          <w:pPr>
            <w:spacing w:after="0" w:line="240" w:lineRule="auto"/>
          </w:pPr>
          <w:r>
            <w:rPr>
              <w:sz w:val="18"/>
            </w:rPr>
            <w:t>F-IC-JD | Rev: 03 | Date: 20/06/2026 | Australian QC</w:t>
          </w:r>
        </w:p>
      </w:tc>
      <w:tc>
        <w:tcPr>
          <w:tcW w:w="5131" w:type="dxa"/>
          <w:tcBorders>
            <w:top w:val="nil"/>
            <w:left w:val="nil"/>
            <w:bottom w:val="nil"/>
            <w:right w:val="nil"/>
          </w:tcBorders>
        </w:tcPr>
        <w:p w14:paraId="131EA996" w14:textId="77777777" w:rsidR="007523AC" w:rsidRDefault="00000000">
          <w:pPr>
            <w:jc w:val="right"/>
          </w:pPr>
          <w:r>
            <w:rPr>
              <w:sz w:val="18"/>
            </w:rPr>
            <w:t xml:space="preserve">Page </w:t>
          </w:r>
          <w:r>
            <w:rPr>
              <w:sz w:val="18"/>
            </w:rPr>
            <w:fldChar w:fldCharType="begin"/>
          </w:r>
          <w:r>
            <w:rPr>
              <w:sz w:val="18"/>
            </w:rPr>
            <w:instrText xml:space="preserve"> PAGE </w:instrText>
          </w:r>
          <w:r>
            <w:rPr>
              <w:sz w:val="18"/>
            </w:rPr>
            <w:fldChar w:fldCharType="separate"/>
          </w:r>
          <w:r>
            <w:rPr>
              <w:sz w:val="18"/>
            </w:rPr>
            <w:t>1</w:t>
          </w:r>
          <w:r>
            <w:rPr>
              <w:sz w:val="18"/>
            </w:rPr>
            <w:fldChar w:fldCharType="end"/>
          </w:r>
          <w:r>
            <w:rPr>
              <w:sz w:val="18"/>
            </w:rPr>
            <w:t xml:space="preserve"> of </w:t>
          </w:r>
          <w:r>
            <w:rPr>
              <w:sz w:val="18"/>
            </w:rPr>
            <w:fldChar w:fldCharType="begin"/>
          </w:r>
          <w:r>
            <w:rPr>
              <w:sz w:val="18"/>
            </w:rPr>
            <w:instrText xml:space="preserve"> NUMPAGES </w:instrText>
          </w:r>
          <w:r>
            <w:rPr>
              <w:sz w:val="18"/>
            </w:rPr>
            <w:fldChar w:fldCharType="separate"/>
          </w:r>
          <w:r>
            <w:rPr>
              <w:sz w:val="18"/>
            </w:rPr>
            <w:t>1</w:t>
          </w:r>
          <w:r>
            <w:rPr>
              <w:sz w:val="18"/>
            </w:rPr>
            <w:fldChar w:fldCharType="end"/>
          </w:r>
        </w:p>
      </w:tc>
    </w:tr>
  </w:tbl>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DDE5B" w14:textId="77777777" w:rsidR="001F56DD" w:rsidRDefault="001F56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961ECE" w14:textId="77777777" w:rsidR="00DA0B33" w:rsidRDefault="00DA0B33">
      <w:pPr>
        <w:spacing w:after="0" w:line="240" w:lineRule="auto"/>
      </w:pPr>
      <w:r>
        <w:separator/>
      </w:r>
    </w:p>
  </w:footnote>
  <w:footnote w:type="continuationSeparator" w:id="0">
    <w:p w14:paraId="2B9ADF25" w14:textId="77777777" w:rsidR="00DA0B33" w:rsidRDefault="00DA0B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4FE4CA" w14:textId="77777777" w:rsidR="001F56DD" w:rsidRDefault="00000000">
    <w:pPr>
      <w:pStyle w:val="Header"/>
    </w:pPr>
    <w:r>
      <w:rPr>
        <w:noProof/>
      </w:rPr>
      <w:pict w14:anchorId="324B65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82466672" o:spid="_x0000_s1026" type="#_x0000_t136" style="position:absolute;margin-left:0;margin-top:0;width:626.95pt;height:96.45pt;rotation:315;z-index:-251653120;mso-position-horizontal:center;mso-position-horizontal-relative:margin;mso-position-vertical:center;mso-position-vertical-relative:margin" o:allowincell="f" fillcolor="silver" stroked="f">
          <v:fill opacity=".5"/>
          <v:textpath style="font-family:&quot;Times New Roman&quot;;font-size:1pt" string="Australian QC"/>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C6539B" w14:textId="77777777" w:rsidR="007523AC" w:rsidRDefault="00000000">
    <w:pPr>
      <w:pStyle w:val="Header"/>
      <w:rPr>
        <w:noProof/>
      </w:rPr>
    </w:pPr>
    <w:r>
      <w:rPr>
        <w:noProof/>
      </w:rPr>
      <w:pict w14:anchorId="29E267B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82466673" o:spid="_x0000_s1027" type="#_x0000_t136" style="position:absolute;margin-left:0;margin-top:0;width:626.95pt;height:96.45pt;rotation:315;z-index:-251651072;mso-position-horizontal:center;mso-position-horizontal-relative:margin;mso-position-vertical:center;mso-position-vertical-relative:margin" o:allowincell="f" fillcolor="silver" stroked="f">
          <v:fill opacity=".5"/>
          <v:textpath style="font-family:&quot;Times New Roman&quot;;font-size:1pt" string="Australian QC"/>
          <w10:wrap anchorx="margin" anchory="margin"/>
        </v:shape>
      </w:pict>
    </w:r>
  </w:p>
  <w:p w14:paraId="7582104A" w14:textId="77777777" w:rsidR="001F56DD" w:rsidRDefault="001F56DD">
    <w:pPr>
      <w:pStyle w:val="Header"/>
      <w:rPr>
        <w:noProof/>
      </w:rPr>
    </w:pPr>
    <w:r>
      <w:rPr>
        <w:noProof/>
      </w:rPr>
      <w:drawing>
        <wp:anchor distT="0" distB="0" distL="114300" distR="114300" simplePos="0" relativeHeight="251658240" behindDoc="1" locked="0" layoutInCell="1" allowOverlap="1" wp14:anchorId="346A1398" wp14:editId="647E90E6">
          <wp:simplePos x="0" y="0"/>
          <wp:positionH relativeFrom="column">
            <wp:posOffset>0</wp:posOffset>
          </wp:positionH>
          <wp:positionV relativeFrom="paragraph">
            <wp:posOffset>0</wp:posOffset>
          </wp:positionV>
          <wp:extent cx="1299210" cy="59880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299210" cy="598805"/>
                  </a:xfrm>
                  <a:prstGeom prst="rect">
                    <a:avLst/>
                  </a:prstGeom>
                  <a:noFill/>
                </pic:spPr>
              </pic:pic>
            </a:graphicData>
          </a:graphic>
          <wp14:sizeRelH relativeFrom="page">
            <wp14:pctWidth>0</wp14:pctWidth>
          </wp14:sizeRelH>
          <wp14:sizeRelV relativeFrom="page">
            <wp14:pctHeight>0</wp14:pctHeight>
          </wp14:sizeRelV>
        </wp:anchor>
      </w:drawing>
    </w:r>
  </w:p>
  <w:p w14:paraId="19B7D372" w14:textId="77777777" w:rsidR="001F56DD" w:rsidRDefault="001F56DD">
    <w:pPr>
      <w:pStyle w:val="Header"/>
    </w:pPr>
  </w:p>
  <w:tbl>
    <w:tblPr>
      <w:tblW w:w="0" w:type="auto"/>
      <w:jc w:val="center"/>
      <w:tblLook w:val="04A0" w:firstRow="1" w:lastRow="0" w:firstColumn="1" w:lastColumn="0" w:noHBand="0" w:noVBand="1"/>
    </w:tblPr>
    <w:tblGrid>
      <w:gridCol w:w="5017"/>
    </w:tblGrid>
    <w:tr w:rsidR="007523AC" w14:paraId="3A66DA7A" w14:textId="77777777" w:rsidTr="001F56DD">
      <w:trPr>
        <w:jc w:val="center"/>
      </w:trPr>
      <w:tc>
        <w:tcPr>
          <w:tcW w:w="5017" w:type="dxa"/>
          <w:tcBorders>
            <w:top w:val="single" w:sz="8" w:space="0" w:color="1F4E79"/>
            <w:left w:val="single" w:sz="8" w:space="0" w:color="1F4E79"/>
            <w:bottom w:val="single" w:sz="8" w:space="0" w:color="1F4E79"/>
            <w:right w:val="single" w:sz="8" w:space="0" w:color="1F4E79"/>
          </w:tcBorders>
        </w:tcPr>
        <w:p w14:paraId="3C378E9C" w14:textId="77777777" w:rsidR="007523AC" w:rsidRDefault="00000000">
          <w:pPr>
            <w:spacing w:after="0" w:line="240" w:lineRule="auto"/>
            <w:jc w:val="center"/>
          </w:pPr>
          <w:r>
            <w:rPr>
              <w:b/>
              <w:color w:val="1F4E79"/>
              <w:sz w:val="23"/>
            </w:rPr>
            <w:t>Job Description - Impartiality Committee</w:t>
          </w:r>
        </w:p>
      </w:tc>
    </w:tr>
  </w:tbl>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227DE" w14:textId="77777777" w:rsidR="001F56DD" w:rsidRDefault="00000000">
    <w:pPr>
      <w:pStyle w:val="Header"/>
    </w:pPr>
    <w:r>
      <w:rPr>
        <w:noProof/>
      </w:rPr>
      <w:pict w14:anchorId="5F49D5A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82466671" o:spid="_x0000_s1025" type="#_x0000_t136" style="position:absolute;margin-left:0;margin-top:0;width:626.95pt;height:96.45pt;rotation:315;z-index:-251655168;mso-position-horizontal:center;mso-position-horizontal-relative:margin;mso-position-vertical:center;mso-position-vertical-relative:margin" o:allowincell="f" fillcolor="silver" stroked="f">
          <v:fill opacity=".5"/>
          <v:textpath style="font-family:&quot;Times New Roman&quot;;font-size:1pt" string="Australian QC"/>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443722957">
    <w:abstractNumId w:val="8"/>
  </w:num>
  <w:num w:numId="2" w16cid:durableId="2051106227">
    <w:abstractNumId w:val="6"/>
  </w:num>
  <w:num w:numId="3" w16cid:durableId="11104604">
    <w:abstractNumId w:val="5"/>
  </w:num>
  <w:num w:numId="4" w16cid:durableId="1548838408">
    <w:abstractNumId w:val="4"/>
  </w:num>
  <w:num w:numId="5" w16cid:durableId="620262469">
    <w:abstractNumId w:val="7"/>
  </w:num>
  <w:num w:numId="6" w16cid:durableId="1571620309">
    <w:abstractNumId w:val="3"/>
  </w:num>
  <w:num w:numId="7" w16cid:durableId="949774252">
    <w:abstractNumId w:val="2"/>
  </w:num>
  <w:num w:numId="8" w16cid:durableId="49885689">
    <w:abstractNumId w:val="1"/>
  </w:num>
  <w:num w:numId="9" w16cid:durableId="16514474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D1DB3"/>
    <w:rsid w:val="0015074B"/>
    <w:rsid w:val="001F56DD"/>
    <w:rsid w:val="00202283"/>
    <w:rsid w:val="0029639D"/>
    <w:rsid w:val="00326F90"/>
    <w:rsid w:val="003438E2"/>
    <w:rsid w:val="003A70AF"/>
    <w:rsid w:val="00625F77"/>
    <w:rsid w:val="0072478D"/>
    <w:rsid w:val="007523AC"/>
    <w:rsid w:val="00AA1D8D"/>
    <w:rsid w:val="00B47730"/>
    <w:rsid w:val="00C96216"/>
    <w:rsid w:val="00CB0664"/>
    <w:rsid w:val="00D6717A"/>
    <w:rsid w:val="00DA0B33"/>
    <w:rsid w:val="00F75ACF"/>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4C6544E"/>
  <w14:defaultImageDpi w14:val="300"/>
  <w15:docId w15:val="{184450F0-5EA4-4518-B003-1882BB1F3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pPr>
      <w:spacing w:after="40"/>
    </w:pPr>
    <w:rPr>
      <w:rFonts w:ascii="Times New Roman" w:eastAsia="Times New Roman" w:hAnsi="Times New Roman"/>
      <w:sz w:val="19"/>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1F4E79"/>
      <w:sz w:val="25"/>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1F4E79"/>
      <w:sz w:val="21"/>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sz w:val="18"/>
    </w:r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2767</Words>
  <Characters>20344</Characters>
  <Application>Microsoft Office Word</Application>
  <DocSecurity>0</DocSecurity>
  <Lines>391</Lines>
  <Paragraphs>243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22868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Impartiality Committee Job Description - Rev 03 - NDIS Expectations</dc:title>
  <dc:subject>Australian QC impartiality governance role description aligned to NDIS AQA expectations</dc:subject>
  <dc:creator>Australian QC</dc:creator>
  <cp:keywords>Certification Coordinator 1, job description, CRM, certification workflow, NDIS AQA, ISO/IEC 17065, ACICS</cp:keywords>
  <dc:description>generated by python-docx</dc:description>
  <cp:lastModifiedBy>Australian QC</cp:lastModifiedBy>
  <cp:revision>2</cp:revision>
  <dcterms:created xsi:type="dcterms:W3CDTF">2026-06-20T06:06:00Z</dcterms:created>
  <dcterms:modified xsi:type="dcterms:W3CDTF">2026-06-20T06:06:00Z</dcterms:modified>
  <cp:category/>
</cp:coreProperties>
</file>