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12F6EBFE" w:rsidR="00DF6A22" w:rsidRPr="00D467D6" w:rsidRDefault="7C4067A2" w:rsidP="00DF6A22">
      <w:pPr>
        <w:tabs>
          <w:tab w:val="left" w:pos="2694"/>
        </w:tabs>
      </w:pPr>
      <w:r w:rsidRPr="2E736B53">
        <w:rPr>
          <w:b/>
          <w:bCs/>
        </w:rPr>
        <w:t>Position title:</w:t>
      </w:r>
      <w:r>
        <w:t xml:space="preserve"> </w:t>
      </w:r>
      <w:r w:rsidR="00DF6A22">
        <w:tab/>
      </w:r>
      <w:r w:rsidR="00755A31" w:rsidRPr="0074092E">
        <w:t>Advocate, Independent Mental Health Advocacy</w:t>
      </w:r>
    </w:p>
    <w:p w14:paraId="69AECC3D" w14:textId="32D5EB09" w:rsidR="00DF6A22" w:rsidRPr="00D467D6" w:rsidRDefault="00DF6A22" w:rsidP="00DF6A22">
      <w:pPr>
        <w:tabs>
          <w:tab w:val="left" w:pos="2694"/>
        </w:tabs>
      </w:pPr>
      <w:r w:rsidRPr="00D467D6">
        <w:rPr>
          <w:b/>
        </w:rPr>
        <w:t>Reports to:</w:t>
      </w:r>
      <w:r w:rsidRPr="00D467D6">
        <w:t xml:space="preserve"> </w:t>
      </w:r>
      <w:r w:rsidRPr="00D467D6">
        <w:tab/>
      </w:r>
      <w:r w:rsidR="00755A31">
        <w:t xml:space="preserve">Senior Advocate, Independent Mental Health Advocacy  </w:t>
      </w:r>
      <w:r w:rsidRPr="00D467D6">
        <w:t xml:space="preserve"> </w:t>
      </w:r>
    </w:p>
    <w:p w14:paraId="71DE2636" w14:textId="22F13D69" w:rsidR="00DF6A22" w:rsidRPr="00D467D6" w:rsidRDefault="00DF6A22" w:rsidP="00DF6A22">
      <w:pPr>
        <w:tabs>
          <w:tab w:val="left" w:pos="2694"/>
        </w:tabs>
      </w:pPr>
      <w:r w:rsidRPr="00D467D6">
        <w:rPr>
          <w:b/>
        </w:rPr>
        <w:t>Program area:</w:t>
      </w:r>
      <w:r w:rsidRPr="00D467D6">
        <w:t xml:space="preserve"> </w:t>
      </w:r>
      <w:r w:rsidRPr="00D467D6">
        <w:tab/>
      </w:r>
      <w:r w:rsidR="00755A31" w:rsidRPr="00755A31">
        <w:t>Legal Practice, Civil Justice and Legal Help</w:t>
      </w:r>
    </w:p>
    <w:p w14:paraId="0450D2A7" w14:textId="6F3848D7" w:rsidR="005C67F3" w:rsidRDefault="00DF6A22" w:rsidP="0024249B">
      <w:pPr>
        <w:tabs>
          <w:tab w:val="left" w:pos="2694"/>
        </w:tabs>
      </w:pPr>
      <w:r w:rsidRPr="6FA8A7F5">
        <w:rPr>
          <w:b/>
          <w:bCs/>
        </w:rPr>
        <w:t>Location:</w:t>
      </w:r>
      <w:r w:rsidRPr="00D467D6">
        <w:t xml:space="preserve"> </w:t>
      </w:r>
      <w:r w:rsidRPr="00D467D6">
        <w:tab/>
      </w:r>
      <w:r w:rsidR="00755A31" w:rsidRPr="00755A31">
        <w:t>Ringwood</w:t>
      </w:r>
      <w:r w:rsidR="00755A31">
        <w:t xml:space="preserve">, Dandenong and Frankston offices </w:t>
      </w:r>
    </w:p>
    <w:p w14:paraId="533E6320" w14:textId="73769F95"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755A31">
        <w:t>3</w:t>
      </w:r>
      <w:r w:rsidR="00D21958">
        <w:t>.</w:t>
      </w:r>
      <w:r w:rsidR="00755A31">
        <w:t>2</w:t>
      </w:r>
      <w:r w:rsidR="00FE62C9" w:rsidRPr="00D467D6">
        <w:t xml:space="preserve"> </w:t>
      </w:r>
      <w:r w:rsidR="00755A31">
        <w:t>–</w:t>
      </w:r>
      <w:r w:rsidR="00FE62C9" w:rsidRPr="00D467D6">
        <w:t xml:space="preserve"> </w:t>
      </w:r>
      <w:r w:rsidR="00755A31">
        <w:t>32AO5C</w:t>
      </w:r>
    </w:p>
    <w:p w14:paraId="59CFF39B" w14:textId="77777777" w:rsidR="005D4D08" w:rsidRPr="00D467D6" w:rsidRDefault="00D372BD"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3CA82E5" w14:textId="77777777" w:rsidR="00194D0E" w:rsidRPr="0074092E" w:rsidRDefault="00194D0E" w:rsidP="00194D0E">
      <w:pPr>
        <w:pStyle w:val="VLADocumentText"/>
      </w:pPr>
      <w:r w:rsidRPr="0074092E">
        <w:t xml:space="preserve">IMHA is a non-legal advocacy program that is staffed and led by professionals with mental health consumer experience and/or backgrounds in community development, consumer advocacy, mental health advocacy, community sector advocacy, social work, mental health service provision or other similar fields. </w:t>
      </w:r>
    </w:p>
    <w:p w14:paraId="55308425" w14:textId="3922D94F" w:rsidR="00147AA2" w:rsidRDefault="00194D0E" w:rsidP="00D9420E">
      <w:pPr>
        <w:pStyle w:val="VLADocumentText"/>
      </w:pPr>
      <w:r w:rsidRPr="0074092E">
        <w:t xml:space="preserve">This role provides services to people at risk of or on compulsory treatment orders, assists people to understand and exercise their rights and to enable them to participate in decisions about their treatment, care, and recovery including coaching for self-advocacy and referrals. </w:t>
      </w:r>
    </w:p>
    <w:p w14:paraId="76B899AE" w14:textId="77777777" w:rsidR="005529A4" w:rsidRPr="00D467D6" w:rsidRDefault="005529A4" w:rsidP="005529A4">
      <w:pPr>
        <w:pStyle w:val="Heading2"/>
        <w:spacing w:before="360"/>
      </w:pPr>
      <w:r w:rsidRPr="00D467D6">
        <w:t>Responsibilities</w:t>
      </w:r>
    </w:p>
    <w:p w14:paraId="341431F0" w14:textId="77777777" w:rsidR="00194D0E" w:rsidRPr="0074092E" w:rsidRDefault="00194D0E" w:rsidP="00194D0E">
      <w:pPr>
        <w:pStyle w:val="NumberedList"/>
      </w:pPr>
      <w:r>
        <w:t>Provide high quality intake non-legal advocacy services to people at risk of or subject to compulsory treatment orders to enable them to participate in decisions about their treatment, care, and recovery by:</w:t>
      </w:r>
    </w:p>
    <w:p w14:paraId="05CCA48D" w14:textId="77777777" w:rsidR="00194D0E" w:rsidRPr="00F551E2" w:rsidRDefault="00194D0E" w:rsidP="00194D0E">
      <w:pPr>
        <w:pStyle w:val="NumberedList"/>
        <w:numPr>
          <w:ilvl w:val="0"/>
          <w:numId w:val="30"/>
        </w:numPr>
      </w:pPr>
      <w:r w:rsidRPr="00F551E2">
        <w:t>Listening, clarifying, and understanding what the person wants.</w:t>
      </w:r>
    </w:p>
    <w:p w14:paraId="16D158F7" w14:textId="77777777" w:rsidR="00194D0E" w:rsidRPr="00F551E2" w:rsidRDefault="00194D0E" w:rsidP="00194D0E">
      <w:pPr>
        <w:pStyle w:val="NumberedList"/>
        <w:numPr>
          <w:ilvl w:val="0"/>
          <w:numId w:val="30"/>
        </w:numPr>
      </w:pPr>
      <w:r w:rsidRPr="00F551E2">
        <w:t xml:space="preserve">Assisting the person to understand their rights and what processes are available to exercise these rights and the consequences of choices. </w:t>
      </w:r>
    </w:p>
    <w:p w14:paraId="784EC7DB" w14:textId="77777777" w:rsidR="00194D0E" w:rsidRPr="00F551E2" w:rsidRDefault="00194D0E" w:rsidP="00194D0E">
      <w:pPr>
        <w:pStyle w:val="NumberedList"/>
        <w:numPr>
          <w:ilvl w:val="0"/>
          <w:numId w:val="30"/>
        </w:numPr>
        <w:rPr>
          <w:sz w:val="24"/>
        </w:rPr>
      </w:pPr>
      <w:r w:rsidRPr="00F551E2">
        <w:t>Supporting the person to self-advocate, or as directed, allocate to an advocate who works with the consumer to represent their views and treatment preferences</w:t>
      </w:r>
    </w:p>
    <w:p w14:paraId="01560B62" w14:textId="77777777" w:rsidR="00194D0E" w:rsidRPr="0074092E" w:rsidRDefault="00194D0E" w:rsidP="00194D0E">
      <w:pPr>
        <w:pStyle w:val="NumberedList"/>
        <w:rPr>
          <w:b/>
          <w:bCs/>
        </w:rPr>
      </w:pPr>
      <w:r>
        <w:t>Make and receive referrals via emails or phone calls and respond to inquiries from consumers, mental health organisations and services including, but not limited to, hospitals, peer support workers, social workers, lawyers, caseworkers and other advocates.</w:t>
      </w:r>
    </w:p>
    <w:p w14:paraId="5CFF5497" w14:textId="77777777" w:rsidR="00194D0E" w:rsidRPr="0074092E" w:rsidRDefault="00194D0E" w:rsidP="00194D0E">
      <w:pPr>
        <w:pStyle w:val="NumberedList"/>
        <w:rPr>
          <w:b/>
          <w:bCs/>
        </w:rPr>
      </w:pPr>
      <w:r>
        <w:t xml:space="preserve">Contribute to the implementation and continuous improvement of IMHA program including the development and review of policies, procedures and guidelines. </w:t>
      </w:r>
    </w:p>
    <w:p w14:paraId="4A5D0238" w14:textId="77777777" w:rsidR="00194D0E" w:rsidRPr="0074092E" w:rsidRDefault="00194D0E" w:rsidP="00194D0E">
      <w:pPr>
        <w:pStyle w:val="NumberedList"/>
        <w:rPr>
          <w:b/>
          <w:bCs/>
        </w:rPr>
      </w:pPr>
      <w:r>
        <w:t>Contribute to positive engagement with consumers and consumer organisations to ensure consumer needs are at the centre of service delivery.</w:t>
      </w:r>
    </w:p>
    <w:p w14:paraId="6D2AE9B8" w14:textId="77777777" w:rsidR="00194D0E" w:rsidRPr="0074092E" w:rsidRDefault="00194D0E" w:rsidP="00194D0E">
      <w:pPr>
        <w:pStyle w:val="NumberedList"/>
        <w:rPr>
          <w:b/>
          <w:bCs/>
        </w:rPr>
      </w:pPr>
      <w:r>
        <w:t>Contribute to the health and wellbeing of self and others by participating in individual and team debriefing and mentoring.</w:t>
      </w:r>
    </w:p>
    <w:p w14:paraId="22552DB5" w14:textId="77777777" w:rsidR="00194D0E" w:rsidRPr="0074092E" w:rsidRDefault="00194D0E" w:rsidP="00194D0E">
      <w:pPr>
        <w:pStyle w:val="NumberedList"/>
        <w:rPr>
          <w:b/>
          <w:bCs/>
        </w:rPr>
      </w:pPr>
      <w:r>
        <w:lastRenderedPageBreak/>
        <w:t>Participate in individual and team professional development and keep up to date with relevant policies, legislation and maintain an understanding of issues impacting the broader mental health sector.</w:t>
      </w:r>
    </w:p>
    <w:p w14:paraId="38C747F4" w14:textId="77777777" w:rsidR="00194D0E" w:rsidRDefault="00194D0E" w:rsidP="00194D0E">
      <w:pPr>
        <w:pStyle w:val="NumberedList"/>
      </w:pPr>
      <w:r>
        <w:t>Collaborate with other VLA staff and contribute to the VLA strategy and other broader organisational forums, projects and events.</w:t>
      </w:r>
    </w:p>
    <w:p w14:paraId="50203541" w14:textId="77777777" w:rsidR="00194D0E" w:rsidRDefault="00194D0E" w:rsidP="00194D0E">
      <w:pPr>
        <w:pStyle w:val="NumberedList"/>
      </w:pPr>
      <w:r>
        <w:t>Participate in public promotion and information sessions for consumers and key stakeholders to understand the service, the role of an advocate and consumer rights</w:t>
      </w:r>
    </w:p>
    <w:p w14:paraId="0D8B457F" w14:textId="77777777" w:rsidR="00D511BD" w:rsidRPr="00D511BD" w:rsidRDefault="00D511BD" w:rsidP="00F71D53">
      <w:pPr>
        <w:pStyle w:val="Heading2"/>
      </w:pPr>
      <w:r w:rsidRPr="00D511BD">
        <w:t>Essential standards and capabilities</w:t>
      </w:r>
    </w:p>
    <w:p w14:paraId="32F5C485" w14:textId="77777777" w:rsidR="00D511BD" w:rsidRPr="00D511BD" w:rsidRDefault="00D511BD" w:rsidP="00D511BD">
      <w:pPr>
        <w:pStyle w:val="VLADocumentText"/>
      </w:pPr>
      <w:r w:rsidRPr="00D511BD">
        <w:t>The following standards and capabilities are mandatory and are required to perform the duties and responsibilities of this position.</w:t>
      </w:r>
    </w:p>
    <w:p w14:paraId="4F444F65" w14:textId="3A7FC01D" w:rsidR="00F71D53" w:rsidRPr="0075203F" w:rsidRDefault="00F71D53" w:rsidP="00F71D53">
      <w:pPr>
        <w:pStyle w:val="Bulleted"/>
        <w:numPr>
          <w:ilvl w:val="0"/>
          <w:numId w:val="22"/>
        </w:numPr>
      </w:pPr>
      <w:r>
        <w:t xml:space="preserve">Lived </w:t>
      </w:r>
      <w:r w:rsidRPr="0075203F">
        <w:t>experience and/or experience in working with lived experience experts to co-produce or co-design services and resources. An understanding of the challenges impacting on people experiencing mental health issues accessing mental health and other related systems.</w:t>
      </w:r>
      <w:r>
        <w:t xml:space="preserve"> </w:t>
      </w:r>
      <w:r w:rsidRPr="0075203F">
        <w:t xml:space="preserve">  </w:t>
      </w:r>
    </w:p>
    <w:p w14:paraId="6E98AA05" w14:textId="77777777" w:rsidR="00D511BD" w:rsidRPr="00194D0E" w:rsidRDefault="00D511BD" w:rsidP="00D511BD">
      <w:pPr>
        <w:pStyle w:val="VLADocumentText"/>
        <w:numPr>
          <w:ilvl w:val="0"/>
          <w:numId w:val="22"/>
        </w:numPr>
      </w:pPr>
      <w:r w:rsidRPr="00194D0E">
        <w:t>You must have the right to work in Australia (i.e., be an Australian or New Zealand citizen, permanent resident, or hold a valid visa).</w:t>
      </w:r>
    </w:p>
    <w:p w14:paraId="2340B4E1" w14:textId="58FEAF2B" w:rsidR="000004F0" w:rsidRPr="00194D0E" w:rsidRDefault="005D4619" w:rsidP="00D511BD">
      <w:pPr>
        <w:pStyle w:val="VLADocumentText"/>
        <w:numPr>
          <w:ilvl w:val="0"/>
          <w:numId w:val="22"/>
        </w:numPr>
      </w:pPr>
      <w:r w:rsidRPr="00194D0E">
        <w:t xml:space="preserve">VLA follows a hybrid work structure where employees work from the office or remotely as required to perform the duties specific to each role. All VLA employees are subject to minimum levels of in-office </w:t>
      </w:r>
      <w:r w:rsidR="0AF83CCA" w:rsidRPr="00194D0E">
        <w:t xml:space="preserve">and/or at-court </w:t>
      </w:r>
      <w:r w:rsidRPr="00194D0E">
        <w:t>attendance, as determined by operational needs. Hybrid work arrangements may be reduced or not available for this role due to the nature and responsibilities of the role.</w:t>
      </w:r>
    </w:p>
    <w:p w14:paraId="58E662D7" w14:textId="4E6CE9FE" w:rsidR="00D511BD" w:rsidRPr="00194D0E" w:rsidRDefault="00D511BD" w:rsidP="00D84E89">
      <w:pPr>
        <w:pStyle w:val="Bulleted"/>
        <w:ind w:left="709"/>
      </w:pPr>
      <w:r w:rsidRPr="00D511BD">
        <w:t>Ability to independently travel to various office locations</w:t>
      </w:r>
      <w:r w:rsidR="00D84E89">
        <w:t xml:space="preserve">, </w:t>
      </w:r>
      <w:r w:rsidR="00D84E89" w:rsidRPr="00D467D6">
        <w:t xml:space="preserve">meeting venues, outreach services, </w:t>
      </w:r>
      <w:r w:rsidR="00D84E89" w:rsidRPr="00194D0E">
        <w:t xml:space="preserve">courts and tribunals including </w:t>
      </w:r>
      <w:r w:rsidR="00194D0E" w:rsidRPr="00194D0E">
        <w:t xml:space="preserve">Latrobe Health, Peninsula Health and Monash Health </w:t>
      </w:r>
      <w:r w:rsidR="00D84E89" w:rsidRPr="00194D0E">
        <w:t>to deliver quality services to our clients, for meetings and/or professional development, as required.</w:t>
      </w:r>
    </w:p>
    <w:p w14:paraId="1DBB7744" w14:textId="7B9E3862" w:rsidR="001E450A" w:rsidRPr="00194D0E" w:rsidRDefault="002106CE" w:rsidP="001E450A">
      <w:pPr>
        <w:pStyle w:val="VLADocumentText"/>
        <w:numPr>
          <w:ilvl w:val="0"/>
          <w:numId w:val="22"/>
        </w:numPr>
      </w:pPr>
      <w:r w:rsidRPr="00194D0E">
        <w:t xml:space="preserve">All appointments are subject to reference checks and </w:t>
      </w:r>
      <w:r w:rsidR="001E450A" w:rsidRPr="00194D0E">
        <w:t xml:space="preserve">pre-employment </w:t>
      </w:r>
      <w:r w:rsidRPr="00194D0E">
        <w:t xml:space="preserve">misconduct screening. </w:t>
      </w:r>
    </w:p>
    <w:p w14:paraId="60143BB6" w14:textId="77777777" w:rsidR="001E450A" w:rsidRPr="00194D0E" w:rsidRDefault="00375A7C" w:rsidP="001E450A">
      <w:pPr>
        <w:pStyle w:val="Bulleted"/>
        <w:numPr>
          <w:ilvl w:val="1"/>
          <w:numId w:val="22"/>
        </w:numPr>
      </w:pPr>
      <w:r w:rsidRPr="00194D0E">
        <w:t xml:space="preserve">This role requires you to hold a valid Victorian Working </w:t>
      </w:r>
      <w:proofErr w:type="gramStart"/>
      <w:r w:rsidRPr="00194D0E">
        <w:t>With</w:t>
      </w:r>
      <w:proofErr w:type="gramEnd"/>
      <w:r w:rsidRPr="00194D0E">
        <w:t xml:space="preserve"> Children Check at all times</w:t>
      </w:r>
      <w:r w:rsidR="001E450A" w:rsidRPr="00194D0E">
        <w:t xml:space="preserve">. </w:t>
      </w:r>
    </w:p>
    <w:p w14:paraId="404EE1C2" w14:textId="31410CB4" w:rsidR="002106CE" w:rsidRPr="00194D0E" w:rsidRDefault="002106CE" w:rsidP="001E450A">
      <w:pPr>
        <w:pStyle w:val="Bulleted"/>
        <w:numPr>
          <w:ilvl w:val="1"/>
          <w:numId w:val="22"/>
        </w:numPr>
      </w:pPr>
      <w:r w:rsidRPr="00194D0E">
        <w:t xml:space="preserve">You </w:t>
      </w:r>
      <w:r w:rsidR="00194D0E" w:rsidRPr="00194D0E">
        <w:t>will</w:t>
      </w:r>
      <w:r w:rsidRPr="00194D0E">
        <w:t xml:space="preserve"> be required to undertake a police check during pre-employment screening or at any point during employment with VLA.</w:t>
      </w:r>
    </w:p>
    <w:p w14:paraId="52D648F6" w14:textId="77777777" w:rsidR="005529A4" w:rsidRPr="00D467D6" w:rsidRDefault="005529A4" w:rsidP="005529A4">
      <w:pPr>
        <w:pStyle w:val="Heading2"/>
        <w:spacing w:before="360"/>
      </w:pPr>
      <w:r w:rsidRPr="00D467D6">
        <w:t>Key selection criteria</w:t>
      </w:r>
    </w:p>
    <w:p w14:paraId="43547636" w14:textId="77777777" w:rsidR="00BB1D76" w:rsidRPr="0074092E" w:rsidRDefault="00BB1D76" w:rsidP="00BB1D76">
      <w:pPr>
        <w:pStyle w:val="NumberedList"/>
        <w:numPr>
          <w:ilvl w:val="0"/>
          <w:numId w:val="16"/>
        </w:numPr>
      </w:pPr>
      <w:r w:rsidRPr="0074092E">
        <w:t>Excellent interpersonal and communication skills and demonstrated ability to liaise and communicate effectively with consumers from diverse backgrounds, various stakeholders and organisations</w:t>
      </w:r>
      <w:r>
        <w:t>.</w:t>
      </w:r>
    </w:p>
    <w:p w14:paraId="1A47CB6A" w14:textId="77777777" w:rsidR="00BB1D76" w:rsidRPr="0074092E" w:rsidRDefault="00BB1D76" w:rsidP="00BB1D76">
      <w:pPr>
        <w:pStyle w:val="NumberedList"/>
        <w:numPr>
          <w:ilvl w:val="0"/>
          <w:numId w:val="16"/>
        </w:numPr>
      </w:pPr>
      <w:r w:rsidRPr="0074092E">
        <w:t>Proven ability to work collaboratively with others and foster cooperative and supportive work relationships and team environment.</w:t>
      </w:r>
    </w:p>
    <w:p w14:paraId="4F535429" w14:textId="77777777" w:rsidR="00BB1D76" w:rsidRPr="0074092E" w:rsidRDefault="00BB1D76" w:rsidP="00BB1D76">
      <w:pPr>
        <w:pStyle w:val="NumberedList"/>
        <w:numPr>
          <w:ilvl w:val="0"/>
          <w:numId w:val="16"/>
        </w:numPr>
      </w:pPr>
      <w:r w:rsidRPr="0074092E">
        <w:t>An ability to understand individual situations and environments, and to negotiate and influence as required to create effective solutions.</w:t>
      </w:r>
    </w:p>
    <w:p w14:paraId="4AD07AA4" w14:textId="77777777" w:rsidR="00BB1D76" w:rsidRPr="0074092E" w:rsidRDefault="00BB1D76" w:rsidP="00BB1D76">
      <w:pPr>
        <w:pStyle w:val="NumberedList"/>
        <w:numPr>
          <w:ilvl w:val="0"/>
          <w:numId w:val="16"/>
        </w:numPr>
      </w:pPr>
      <w:bookmarkStart w:id="1" w:name="_Hlk130289970"/>
      <w:r w:rsidRPr="0074092E">
        <w:t xml:space="preserve">Knowledge of relevant policy and legal frameworks including the </w:t>
      </w:r>
      <w:r w:rsidRPr="004E7720">
        <w:t>Mental Health and Wellbeing Act 2022 (Vic)</w:t>
      </w:r>
      <w:r>
        <w:t xml:space="preserve">, </w:t>
      </w:r>
      <w:r w:rsidRPr="0074092E">
        <w:t xml:space="preserve">Charter of Human Rights and Responsibilities Act 2006 (Vic) and the United Nations Convention on the Rights of People with Disabilities. </w:t>
      </w:r>
    </w:p>
    <w:p w14:paraId="3AFDC5F0" w14:textId="77777777" w:rsidR="00BB1D76" w:rsidRPr="0074092E" w:rsidRDefault="00BB1D76" w:rsidP="00BB1D76">
      <w:pPr>
        <w:pStyle w:val="NumberedList"/>
        <w:numPr>
          <w:ilvl w:val="0"/>
          <w:numId w:val="16"/>
        </w:numPr>
        <w:rPr>
          <w:rStyle w:val="CommentReference"/>
          <w:b/>
          <w:bCs/>
          <w:sz w:val="22"/>
          <w:szCs w:val="24"/>
        </w:rPr>
      </w:pPr>
      <w:r w:rsidRPr="0074092E">
        <w:t>Sound knowledge of and experience in supported decision making</w:t>
      </w:r>
      <w:r>
        <w:t>.</w:t>
      </w:r>
      <w:bookmarkEnd w:id="1"/>
    </w:p>
    <w:p w14:paraId="53D27197" w14:textId="77777777" w:rsidR="005529A4" w:rsidRPr="00171F93" w:rsidRDefault="005529A4" w:rsidP="005529A4">
      <w:pPr>
        <w:pStyle w:val="NumberedList"/>
        <w:rPr>
          <w:b/>
          <w:bCs/>
        </w:rPr>
      </w:pPr>
      <w:r w:rsidRPr="00D467D6">
        <w:t xml:space="preserve">A knowledge of the general business of VLA and a commitment to our vision and values. </w:t>
      </w:r>
    </w:p>
    <w:p w14:paraId="1ED92A36" w14:textId="77777777" w:rsidR="005B7594" w:rsidRPr="00D467D6" w:rsidRDefault="005B7594" w:rsidP="00202224">
      <w:pPr>
        <w:pStyle w:val="Heading2"/>
      </w:pPr>
      <w:r w:rsidRPr="00D467D6">
        <w:lastRenderedPageBreak/>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755F8446"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w:t>
      </w:r>
      <w:r w:rsidR="00BB1D76">
        <w:rPr>
          <w:rFonts w:eastAsia="Arial" w:cs="Arial"/>
          <w:color w:val="000000" w:themeColor="text1"/>
          <w:szCs w:val="22"/>
        </w:rPr>
        <w:t>Legal Help</w:t>
      </w:r>
      <w:r w:rsidRPr="06E1ED47">
        <w:rPr>
          <w:rFonts w:eastAsia="Arial" w:cs="Arial"/>
          <w:color w:val="000000" w:themeColor="text1"/>
          <w:szCs w:val="22"/>
        </w:rPr>
        <w:t>.</w:t>
      </w:r>
    </w:p>
    <w:p w14:paraId="2F0C9129" w14:textId="77777777" w:rsidR="00BB1D76" w:rsidRDefault="00BB1D76" w:rsidP="00BB1D76">
      <w:pPr>
        <w:pStyle w:val="Heading3"/>
      </w:pPr>
      <w:r>
        <w:t>Civil Justice</w:t>
      </w:r>
    </w:p>
    <w:p w14:paraId="48D41EE4" w14:textId="77777777" w:rsidR="00BB1D76" w:rsidRDefault="00BB1D76" w:rsidP="00BB1D76">
      <w:r>
        <w:t xml:space="preserve">Independent Mental Health Advocacy, Migration, Economic and Social Rights, and the Equality Law Program. </w:t>
      </w:r>
    </w:p>
    <w:p w14:paraId="0CB1FEE7" w14:textId="77777777" w:rsidR="00BB1D76" w:rsidRDefault="00BB1D76" w:rsidP="00BB1D76">
      <w:r>
        <w:t>The Civil Justice program’s vision is a fairer, stronger and more inclusive community. We advocate for equality, enable people to protect their rights and promote accountability of systems. Together with our partners in the legal and community sectors, and with our clients and consumers at the centre, we use the law so people can access justice and secure better, fairer outcomes in relation to issues that affect their lives, including their housing, income, mental and physical health, visa status and ability to live and work free from discrimination.</w:t>
      </w:r>
    </w:p>
    <w:p w14:paraId="00196AFE" w14:textId="77777777" w:rsidR="00BB1D76" w:rsidRPr="0074092E" w:rsidRDefault="00BB1D76" w:rsidP="00BB1D76">
      <w:pPr>
        <w:pStyle w:val="Heading3"/>
      </w:pPr>
      <w:r w:rsidRPr="0074092E">
        <w:t xml:space="preserve">Independent Mental Health Advocacy (IMHA) </w:t>
      </w:r>
    </w:p>
    <w:p w14:paraId="1B47C5F3" w14:textId="2071CD48" w:rsidR="00CB27DF" w:rsidRPr="00BB1D76" w:rsidRDefault="00BB1D76" w:rsidP="00BB1D76">
      <w:pPr>
        <w:rPr>
          <w:rFonts w:ascii="Aptos" w:hAnsi="Aptos"/>
          <w:szCs w:val="22"/>
        </w:rPr>
      </w:pPr>
      <w:r>
        <w:rPr>
          <w:szCs w:val="22"/>
        </w:rPr>
        <w:t xml:space="preserve">This program is the first of its kind in Victoria and is funded by the Department of Health. The IMHA program is not a legal service. It is a serious step for people to be detained and to receive mental health treatment against their will. It is vital that people subject to compulsory treatment have a say about their treatment, care, and recovery, are supported to express their treatment preferences, and have their wishes considered, respected and where possible, followed. IMHA is the primary non legal advocacy provider in Victoria and responsible for the </w:t>
      </w:r>
      <w:proofErr w:type="spellStart"/>
      <w:r>
        <w:rPr>
          <w:szCs w:val="22"/>
        </w:rPr>
        <w:t>non legal</w:t>
      </w:r>
      <w:proofErr w:type="spellEnd"/>
      <w:r>
        <w:rPr>
          <w:szCs w:val="22"/>
        </w:rPr>
        <w:t xml:space="preserve"> advocacy opt out register as per the Mental Health and Wellbeing Act, 2022.</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lastRenderedPageBreak/>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D372BD"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563C232E" w:rsidR="00782112" w:rsidRPr="00D467D6" w:rsidRDefault="00782112" w:rsidP="003F73E1">
      <w:r w:rsidRPr="00D467D6">
        <w:t>Position</w:t>
      </w:r>
      <w:r w:rsidR="00147AA2" w:rsidRPr="00D467D6">
        <w:t xml:space="preserve"> Title</w:t>
      </w:r>
      <w:r w:rsidRPr="00D467D6">
        <w:t xml:space="preserve">: </w:t>
      </w:r>
      <w:r w:rsidRPr="00D467D6">
        <w:tab/>
      </w:r>
      <w:r w:rsidR="00BB1D76">
        <w:t>Recruitment and Retention Consultant</w:t>
      </w:r>
    </w:p>
    <w:p w14:paraId="6DF0F31E" w14:textId="6E19CF02" w:rsidR="003F73E1" w:rsidRPr="00D467D6" w:rsidRDefault="003F73E1" w:rsidP="003F73E1">
      <w:pPr>
        <w:tabs>
          <w:tab w:val="left" w:pos="1418"/>
        </w:tabs>
      </w:pPr>
      <w:r w:rsidRPr="00D467D6">
        <w:t xml:space="preserve">Date approved: </w:t>
      </w:r>
      <w:r w:rsidR="00BB1D76">
        <w:t>5 March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3B30" w14:textId="77777777" w:rsidR="00A255EE" w:rsidRDefault="00A255EE"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4480862C" w14:textId="77777777" w:rsidR="00A255EE" w:rsidRDefault="00A255EE"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95B3903" w14:textId="77777777" w:rsidR="00A255EE" w:rsidRDefault="00A25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6D81DE"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FDD22"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9958" w14:textId="77777777" w:rsidR="00A255EE" w:rsidRDefault="00A255EE"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7DCB2504" w14:textId="77777777" w:rsidR="00A255EE" w:rsidRDefault="00A255EE"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4C365105" w14:textId="77777777" w:rsidR="00A255EE" w:rsidRDefault="00A25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6BDDD5A8"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A341C"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BB1D76" w:rsidRPr="00BB1D76">
      <w:rPr>
        <w:rFonts w:ascii="Arial Bold" w:hAnsi="Arial Bold" w:cs="Arial"/>
        <w:b/>
        <w:color w:val="755193"/>
        <w:sz w:val="18"/>
        <w:szCs w:val="18"/>
      </w:rPr>
      <w:t>Advocate, Independent Mental Health Advocacy</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9CD54C5"/>
    <w:multiLevelType w:val="hybridMultilevel"/>
    <w:tmpl w:val="79D69B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4"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5"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4"/>
  </w:num>
  <w:num w:numId="3" w16cid:durableId="846603871">
    <w:abstractNumId w:val="26"/>
  </w:num>
  <w:num w:numId="4" w16cid:durableId="183448634">
    <w:abstractNumId w:val="16"/>
  </w:num>
  <w:num w:numId="5" w16cid:durableId="1488786756">
    <w:abstractNumId w:val="17"/>
  </w:num>
  <w:num w:numId="6" w16cid:durableId="1229849399">
    <w:abstractNumId w:val="11"/>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3"/>
  </w:num>
  <w:num w:numId="22" w16cid:durableId="1941179812">
    <w:abstractNumId w:val="14"/>
  </w:num>
  <w:num w:numId="23" w16cid:durableId="1776898386">
    <w:abstractNumId w:val="25"/>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0"/>
  </w:num>
  <w:num w:numId="29" w16cid:durableId="259217957">
    <w:abstractNumId w:val="7"/>
  </w:num>
  <w:num w:numId="30" w16cid:durableId="87033550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2">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40F0B"/>
    <w:rsid w:val="00042C17"/>
    <w:rsid w:val="00043C1D"/>
    <w:rsid w:val="00045F66"/>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BD"/>
    <w:rsid w:val="00160C7E"/>
    <w:rsid w:val="00171F93"/>
    <w:rsid w:val="00181303"/>
    <w:rsid w:val="00191AE9"/>
    <w:rsid w:val="00194D0E"/>
    <w:rsid w:val="00195249"/>
    <w:rsid w:val="001979A6"/>
    <w:rsid w:val="001A2999"/>
    <w:rsid w:val="001B0FB6"/>
    <w:rsid w:val="001B10EC"/>
    <w:rsid w:val="001B1B85"/>
    <w:rsid w:val="001B1D51"/>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0EE3"/>
    <w:rsid w:val="00706B0E"/>
    <w:rsid w:val="00707FED"/>
    <w:rsid w:val="007102F1"/>
    <w:rsid w:val="00714549"/>
    <w:rsid w:val="00720700"/>
    <w:rsid w:val="00722BA4"/>
    <w:rsid w:val="00724661"/>
    <w:rsid w:val="00726617"/>
    <w:rsid w:val="00732498"/>
    <w:rsid w:val="00740E4D"/>
    <w:rsid w:val="007474CF"/>
    <w:rsid w:val="00755A31"/>
    <w:rsid w:val="00761E1C"/>
    <w:rsid w:val="00763828"/>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958CB"/>
    <w:rsid w:val="00896E60"/>
    <w:rsid w:val="00897A48"/>
    <w:rsid w:val="008A1E5F"/>
    <w:rsid w:val="008A7438"/>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270D"/>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CAA"/>
    <w:rsid w:val="00B241AD"/>
    <w:rsid w:val="00B24A63"/>
    <w:rsid w:val="00B31D8B"/>
    <w:rsid w:val="00B34DC1"/>
    <w:rsid w:val="00B56BF9"/>
    <w:rsid w:val="00B6049A"/>
    <w:rsid w:val="00B80349"/>
    <w:rsid w:val="00B85795"/>
    <w:rsid w:val="00B95BA0"/>
    <w:rsid w:val="00BB122F"/>
    <w:rsid w:val="00BB1A9B"/>
    <w:rsid w:val="00BB1D76"/>
    <w:rsid w:val="00BB2E9D"/>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52C47"/>
    <w:rsid w:val="00C61CB5"/>
    <w:rsid w:val="00C64161"/>
    <w:rsid w:val="00C64A61"/>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372BD"/>
    <w:rsid w:val="00D425D0"/>
    <w:rsid w:val="00D44A97"/>
    <w:rsid w:val="00D45391"/>
    <w:rsid w:val="00D467D6"/>
    <w:rsid w:val="00D511BD"/>
    <w:rsid w:val="00D520A5"/>
    <w:rsid w:val="00D529C5"/>
    <w:rsid w:val="00D53A86"/>
    <w:rsid w:val="00D55E95"/>
    <w:rsid w:val="00D66D0F"/>
    <w:rsid w:val="00D72C94"/>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E0DC0"/>
    <w:rsid w:val="00EE375E"/>
    <w:rsid w:val="00EE4610"/>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71D53"/>
    <w:rsid w:val="00F73C46"/>
    <w:rsid w:val="00F77AB0"/>
    <w:rsid w:val="00F77E0F"/>
    <w:rsid w:val="00F825B6"/>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styleId="FollowedHyperlink">
    <w:name w:val="FollowedHyperlink"/>
    <w:basedOn w:val="DefaultParagraphFont"/>
    <w:rsid w:val="00755A31"/>
    <w:rPr>
      <w:color w:val="9775A7" w:themeColor="followedHyperlink"/>
      <w:u w:val="single"/>
    </w:rPr>
  </w:style>
  <w:style w:type="character" w:customStyle="1" w:styleId="Heading3Char">
    <w:name w:val="Heading 3 Char"/>
    <w:basedOn w:val="DefaultParagraphFont"/>
    <w:link w:val="Heading3"/>
    <w:rsid w:val="00BB1D76"/>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Props1.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3.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4.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11078</CharactersWithSpaces>
  <SharedDoc>false</SharedDoc>
  <HLinks>
    <vt:vector size="36" baseType="variant">
      <vt:variant>
        <vt:i4>3473455</vt:i4>
      </vt:variant>
      <vt:variant>
        <vt:i4>60</vt:i4>
      </vt:variant>
      <vt:variant>
        <vt:i4>0</vt:i4>
      </vt:variant>
      <vt:variant>
        <vt:i4>5</vt:i4>
      </vt:variant>
      <vt:variant>
        <vt:lpwstr>https://www.legalaid.vic.gov.au/reconciliation-action-plan</vt:lpwstr>
      </vt:variant>
      <vt:variant>
        <vt:lpwstr/>
      </vt:variant>
      <vt:variant>
        <vt:i4>5308416</vt:i4>
      </vt:variant>
      <vt:variant>
        <vt:i4>54</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51</vt:i4>
      </vt:variant>
      <vt:variant>
        <vt:i4>0</vt:i4>
      </vt:variant>
      <vt:variant>
        <vt:i4>5</vt:i4>
      </vt:variant>
      <vt:variant>
        <vt:lpwstr>https://www.legalaid.vic.gov.au/client-first-strategy</vt:lpwstr>
      </vt:variant>
      <vt:variant>
        <vt:lpwstr/>
      </vt:variant>
      <vt:variant>
        <vt:i4>7143477</vt:i4>
      </vt:variant>
      <vt:variant>
        <vt:i4>48</vt:i4>
      </vt:variant>
      <vt:variant>
        <vt:i4>0</vt:i4>
      </vt:variant>
      <vt:variant>
        <vt:i4>5</vt:i4>
      </vt:variant>
      <vt:variant>
        <vt:lpwstr>https://www.legalaid.vic.gov.au/outcomes-framework</vt:lpwstr>
      </vt:variant>
      <vt:variant>
        <vt:lpwstr/>
      </vt:variant>
      <vt:variant>
        <vt:i4>3670060</vt:i4>
      </vt:variant>
      <vt:variant>
        <vt:i4>45</vt:i4>
      </vt:variant>
      <vt:variant>
        <vt:i4>0</vt:i4>
      </vt:variant>
      <vt:variant>
        <vt:i4>5</vt:i4>
      </vt:variant>
      <vt:variant>
        <vt:lpwstr>https://www.legalaid.vic.gov.au/strategy-26</vt:lpwstr>
      </vt:variant>
      <vt:variant>
        <vt:lpwstr/>
      </vt:variant>
      <vt:variant>
        <vt:i4>2556003</vt:i4>
      </vt:variant>
      <vt:variant>
        <vt:i4>0</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cp:revision>
  <cp:lastPrinted>2015-05-20T13:45:00Z</cp:lastPrinted>
  <dcterms:created xsi:type="dcterms:W3CDTF">2026-03-05T02:50:00Z</dcterms:created>
  <dcterms:modified xsi:type="dcterms:W3CDTF">2026-03-05T02:50:00Z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