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-5" w:type="dxa"/>
        <w:tblBorders>
          <w:top w:val="single" w:sz="4" w:space="0" w:color="FFB612" w:themeColor="accent2"/>
          <w:left w:val="single" w:sz="4" w:space="0" w:color="FFB612" w:themeColor="accent2"/>
          <w:bottom w:val="single" w:sz="4" w:space="0" w:color="FFB612" w:themeColor="accent2"/>
          <w:right w:val="single" w:sz="4" w:space="0" w:color="FFB612" w:themeColor="accent2"/>
          <w:insideH w:val="single" w:sz="4" w:space="0" w:color="FFB612" w:themeColor="accent2"/>
          <w:insideV w:val="single" w:sz="4" w:space="0" w:color="FFB612" w:themeColor="accent2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6A39A4" w:rsidRPr="006A39A4" w14:paraId="52C88B2B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56B31D5A" w14:textId="77777777" w:rsidR="006A39A4" w:rsidRPr="006A39A4" w:rsidRDefault="006A39A4" w:rsidP="006A39A4">
            <w:pPr>
              <w:pStyle w:val="TableText"/>
            </w:pPr>
            <w:r w:rsidRPr="006A39A4">
              <w:t>Position:</w:t>
            </w:r>
          </w:p>
        </w:tc>
        <w:tc>
          <w:tcPr>
            <w:tcW w:w="7512" w:type="dxa"/>
          </w:tcPr>
          <w:p w14:paraId="3079FC15" w14:textId="0955DFAC" w:rsidR="006A39A4" w:rsidRPr="00486664" w:rsidRDefault="004B11F3" w:rsidP="0037346C">
            <w:pPr>
              <w:pStyle w:val="TableTextnotbold"/>
              <w:jc w:val="left"/>
            </w:pPr>
            <w:r>
              <w:t xml:space="preserve">Youth </w:t>
            </w:r>
            <w:r w:rsidR="00A150CC">
              <w:t xml:space="preserve">Housing </w:t>
            </w:r>
            <w:r w:rsidR="00EE693B">
              <w:t>&amp; Asset</w:t>
            </w:r>
            <w:r w:rsidR="00A150CC">
              <w:t xml:space="preserve"> Manager</w:t>
            </w:r>
          </w:p>
        </w:tc>
      </w:tr>
      <w:tr w:rsidR="006A39A4" w:rsidRPr="006A39A4" w14:paraId="27C47436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728FCCC8" w14:textId="77777777" w:rsidR="006A39A4" w:rsidRPr="006A39A4" w:rsidRDefault="006A39A4" w:rsidP="006A39A4">
            <w:pPr>
              <w:pStyle w:val="TableText"/>
            </w:pPr>
            <w:r w:rsidRPr="006A39A4">
              <w:t xml:space="preserve">Department: </w:t>
            </w:r>
          </w:p>
        </w:tc>
        <w:tc>
          <w:tcPr>
            <w:tcW w:w="7512" w:type="dxa"/>
          </w:tcPr>
          <w:p w14:paraId="11AFFE88" w14:textId="77777777" w:rsidR="006A39A4" w:rsidRPr="00486664" w:rsidRDefault="00007B4E" w:rsidP="0037346C">
            <w:pPr>
              <w:pStyle w:val="TableTextnotbold"/>
              <w:jc w:val="left"/>
            </w:pPr>
            <w:r>
              <w:t>Programs</w:t>
            </w:r>
          </w:p>
        </w:tc>
      </w:tr>
      <w:tr w:rsidR="006A39A4" w:rsidRPr="006A39A4" w14:paraId="5F0B768C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36AAF610" w14:textId="77777777" w:rsidR="006A39A4" w:rsidRPr="006A39A4" w:rsidRDefault="006A39A4" w:rsidP="006A39A4">
            <w:pPr>
              <w:pStyle w:val="TableText"/>
            </w:pPr>
            <w:r w:rsidRPr="006A39A4">
              <w:t>Time Fraction:</w:t>
            </w:r>
          </w:p>
        </w:tc>
        <w:tc>
          <w:tcPr>
            <w:tcW w:w="7512" w:type="dxa"/>
          </w:tcPr>
          <w:p w14:paraId="57AE915D" w14:textId="77777777" w:rsidR="006A39A4" w:rsidRPr="00486664" w:rsidRDefault="00007B4E" w:rsidP="0037346C">
            <w:pPr>
              <w:pStyle w:val="TableTextnotbold"/>
              <w:jc w:val="left"/>
            </w:pPr>
            <w:r>
              <w:t>Full Time</w:t>
            </w:r>
          </w:p>
        </w:tc>
      </w:tr>
      <w:tr w:rsidR="006A39A4" w:rsidRPr="006A39A4" w14:paraId="68A73C85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55CFC9ED" w14:textId="77777777" w:rsidR="006A39A4" w:rsidRPr="006A39A4" w:rsidRDefault="006A39A4" w:rsidP="006A39A4">
            <w:pPr>
              <w:pStyle w:val="TableText"/>
            </w:pPr>
            <w:r w:rsidRPr="006A39A4">
              <w:t xml:space="preserve">Reports To: </w:t>
            </w:r>
          </w:p>
        </w:tc>
        <w:tc>
          <w:tcPr>
            <w:tcW w:w="7512" w:type="dxa"/>
          </w:tcPr>
          <w:p w14:paraId="1F82669C" w14:textId="7E10B313" w:rsidR="006A39A4" w:rsidRPr="00486664" w:rsidRDefault="00A150CC" w:rsidP="0037346C">
            <w:pPr>
              <w:pStyle w:val="TableTextnotbold"/>
              <w:jc w:val="left"/>
            </w:pPr>
            <w:r>
              <w:t>Head of Program</w:t>
            </w:r>
            <w:r w:rsidR="00FC426C">
              <w:t>s</w:t>
            </w:r>
          </w:p>
        </w:tc>
      </w:tr>
      <w:tr w:rsidR="006A39A4" w:rsidRPr="006A39A4" w14:paraId="6A5EDDCA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72C9AFF3" w14:textId="13E61752" w:rsidR="006A39A4" w:rsidRPr="006A39A4" w:rsidRDefault="0037346C" w:rsidP="006A39A4">
            <w:pPr>
              <w:pStyle w:val="TableText"/>
            </w:pPr>
            <w:r>
              <w:t>Direct Reports:</w:t>
            </w:r>
          </w:p>
        </w:tc>
        <w:tc>
          <w:tcPr>
            <w:tcW w:w="7512" w:type="dxa"/>
          </w:tcPr>
          <w:p w14:paraId="3E700439" w14:textId="2C9ADD01" w:rsidR="00871C5A" w:rsidRPr="00486664" w:rsidRDefault="00BB539E" w:rsidP="0037346C">
            <w:pPr>
              <w:pStyle w:val="TableTextnotbold"/>
              <w:jc w:val="left"/>
            </w:pPr>
            <w:r>
              <w:t xml:space="preserve">4 direct reports </w:t>
            </w:r>
            <w:r w:rsidR="004B11F3">
              <w:t>–</w:t>
            </w:r>
            <w:r>
              <w:t xml:space="preserve"> </w:t>
            </w:r>
            <w:r w:rsidR="004B11F3">
              <w:t>Specialist Youth Housing Worker</w:t>
            </w:r>
            <w:r w:rsidR="00EA11DB">
              <w:t xml:space="preserve">, </w:t>
            </w:r>
            <w:r>
              <w:t>Maintenance Technicians x2 and Administration Officer</w:t>
            </w:r>
          </w:p>
        </w:tc>
      </w:tr>
      <w:tr w:rsidR="006A39A4" w:rsidRPr="006A39A4" w14:paraId="7F1AD765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054F8A25" w14:textId="77777777" w:rsidR="006A39A4" w:rsidRPr="006A39A4" w:rsidRDefault="006A39A4" w:rsidP="006A39A4">
            <w:pPr>
              <w:pStyle w:val="TableText"/>
            </w:pPr>
            <w:r w:rsidRPr="006A39A4">
              <w:t xml:space="preserve">Position Tenure: </w:t>
            </w:r>
          </w:p>
        </w:tc>
        <w:tc>
          <w:tcPr>
            <w:tcW w:w="7512" w:type="dxa"/>
          </w:tcPr>
          <w:p w14:paraId="57735899" w14:textId="77777777" w:rsidR="006A39A4" w:rsidRPr="00486664" w:rsidRDefault="006A39A4" w:rsidP="0037346C">
            <w:pPr>
              <w:pStyle w:val="TableTextnotbold"/>
              <w:jc w:val="left"/>
            </w:pPr>
            <w:r w:rsidRPr="00486664">
              <w:t>Permanent</w:t>
            </w:r>
          </w:p>
        </w:tc>
      </w:tr>
      <w:tr w:rsidR="00834861" w:rsidRPr="006A39A4" w14:paraId="6E78F8D9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244245D3" w14:textId="74C645A1" w:rsidR="00834861" w:rsidRPr="006A39A4" w:rsidRDefault="00834861" w:rsidP="006A39A4">
            <w:pPr>
              <w:pStyle w:val="TableText"/>
            </w:pPr>
            <w:r>
              <w:t>Classification:</w:t>
            </w:r>
          </w:p>
        </w:tc>
        <w:tc>
          <w:tcPr>
            <w:tcW w:w="7512" w:type="dxa"/>
          </w:tcPr>
          <w:p w14:paraId="1D7D642E" w14:textId="568544D3" w:rsidR="00834861" w:rsidRDefault="00834861" w:rsidP="0037346C">
            <w:pPr>
              <w:pStyle w:val="TableTextnotbold"/>
              <w:jc w:val="left"/>
            </w:pPr>
            <w:r>
              <w:t>SCHADS Leve</w:t>
            </w:r>
            <w:r w:rsidR="00433655">
              <w:t>l</w:t>
            </w:r>
            <w:r>
              <w:t xml:space="preserve"> </w:t>
            </w:r>
            <w:r w:rsidR="00433655">
              <w:t>7</w:t>
            </w:r>
          </w:p>
        </w:tc>
      </w:tr>
      <w:tr w:rsidR="006A39A4" w:rsidRPr="006A39A4" w14:paraId="2CAD5956" w14:textId="77777777" w:rsidTr="0037346C">
        <w:tc>
          <w:tcPr>
            <w:tcW w:w="2127" w:type="dxa"/>
            <w:shd w:val="clear" w:color="auto" w:fill="FFF0CF" w:themeFill="accent2" w:themeFillTint="33"/>
          </w:tcPr>
          <w:p w14:paraId="43C63A86" w14:textId="77777777" w:rsidR="006A39A4" w:rsidRPr="006A39A4" w:rsidRDefault="006A39A4" w:rsidP="006A39A4">
            <w:pPr>
              <w:pStyle w:val="TableText"/>
            </w:pPr>
            <w:r w:rsidRPr="006A39A4">
              <w:t>Date of Review:</w:t>
            </w:r>
          </w:p>
        </w:tc>
        <w:tc>
          <w:tcPr>
            <w:tcW w:w="7512" w:type="dxa"/>
          </w:tcPr>
          <w:p w14:paraId="26BFF1D6" w14:textId="1D4D5464" w:rsidR="006A39A4" w:rsidRPr="00486664" w:rsidRDefault="006E7546" w:rsidP="0037346C">
            <w:pPr>
              <w:pStyle w:val="TableTextnotbold"/>
              <w:jc w:val="left"/>
            </w:pPr>
            <w:r>
              <w:t>January 2026</w:t>
            </w:r>
          </w:p>
        </w:tc>
      </w:tr>
    </w:tbl>
    <w:p w14:paraId="05EDB659" w14:textId="77777777" w:rsidR="00234EB1" w:rsidRDefault="00234EB1" w:rsidP="00240FE9">
      <w:pPr>
        <w:pStyle w:val="Heading1"/>
      </w:pPr>
    </w:p>
    <w:p w14:paraId="114913BC" w14:textId="2F41AF45" w:rsidR="006A39A4" w:rsidRPr="00240FE9" w:rsidRDefault="006A39A4" w:rsidP="00240FE9">
      <w:pPr>
        <w:pStyle w:val="Heading1"/>
      </w:pPr>
      <w:r w:rsidRPr="00240FE9">
        <w:t>Role Summary</w:t>
      </w:r>
    </w:p>
    <w:p w14:paraId="288DB8E0" w14:textId="0E83BEFD" w:rsidR="00240FE9" w:rsidRPr="00240FE9" w:rsidRDefault="00240FE9" w:rsidP="00240FE9">
      <w:pPr>
        <w:pStyle w:val="BC"/>
      </w:pPr>
      <w:r w:rsidRPr="00E02454">
        <w:t xml:space="preserve">The </w:t>
      </w:r>
      <w:r w:rsidR="006E7546">
        <w:t xml:space="preserve">newly created role of </w:t>
      </w:r>
      <w:r w:rsidR="00856BE3">
        <w:t xml:space="preserve">Youth </w:t>
      </w:r>
      <w:r w:rsidR="000B1FE7">
        <w:t xml:space="preserve">Housing </w:t>
      </w:r>
      <w:r w:rsidR="00EE693B">
        <w:t>&amp; Asset</w:t>
      </w:r>
      <w:r w:rsidR="000B1FE7">
        <w:t xml:space="preserve"> Manager </w:t>
      </w:r>
      <w:r w:rsidRPr="0042471E">
        <w:t xml:space="preserve">provides </w:t>
      </w:r>
      <w:r w:rsidR="00E45540" w:rsidRPr="0042471E">
        <w:t xml:space="preserve">effective, efficient and </w:t>
      </w:r>
      <w:r w:rsidRPr="0042471E">
        <w:t xml:space="preserve">sustainable </w:t>
      </w:r>
      <w:r w:rsidR="00D574F5" w:rsidRPr="0042471E">
        <w:t>management</w:t>
      </w:r>
      <w:r w:rsidR="00D574F5">
        <w:t xml:space="preserve"> of the </w:t>
      </w:r>
      <w:r w:rsidR="00CA3EF9">
        <w:t xml:space="preserve">Kids Under Cover housing program, </w:t>
      </w:r>
      <w:r w:rsidR="007C383A">
        <w:t>with a core focus on</w:t>
      </w:r>
      <w:r w:rsidR="000601EC">
        <w:t xml:space="preserve"> </w:t>
      </w:r>
      <w:r w:rsidR="000C792E">
        <w:t>tenanc</w:t>
      </w:r>
      <w:r w:rsidR="00A82331">
        <w:t xml:space="preserve">y </w:t>
      </w:r>
      <w:r w:rsidR="00856BE3">
        <w:t>management</w:t>
      </w:r>
      <w:r w:rsidR="00273D13">
        <w:t xml:space="preserve"> and</w:t>
      </w:r>
      <w:r w:rsidR="000C792E">
        <w:t xml:space="preserve"> </w:t>
      </w:r>
      <w:r w:rsidR="007C383A">
        <w:t>strategic asset management</w:t>
      </w:r>
      <w:r w:rsidR="00160482">
        <w:t>.</w:t>
      </w:r>
      <w:r w:rsidR="00886BF3">
        <w:t xml:space="preserve"> </w:t>
      </w:r>
      <w:r w:rsidR="00160482">
        <w:t xml:space="preserve">The </w:t>
      </w:r>
      <w:r w:rsidR="00A82331">
        <w:t xml:space="preserve">Youth </w:t>
      </w:r>
      <w:r w:rsidR="00160482">
        <w:t xml:space="preserve">Housing </w:t>
      </w:r>
      <w:r w:rsidR="00DF4ACE">
        <w:t>&amp; Asset</w:t>
      </w:r>
      <w:r w:rsidR="00160482">
        <w:t xml:space="preserve"> Manager will be responsible for leadership of the day</w:t>
      </w:r>
      <w:r w:rsidR="009D7F2D">
        <w:t>-</w:t>
      </w:r>
      <w:r w:rsidR="00160482">
        <w:t>to</w:t>
      </w:r>
      <w:r w:rsidR="009D7F2D">
        <w:t>-</w:t>
      </w:r>
      <w:r w:rsidR="00160482">
        <w:t xml:space="preserve">day operations of these functions, </w:t>
      </w:r>
      <w:r w:rsidR="00277E8A">
        <w:t>foster</w:t>
      </w:r>
      <w:r w:rsidR="00D41102">
        <w:t>ing</w:t>
      </w:r>
      <w:r w:rsidR="00277E8A">
        <w:t xml:space="preserve"> strong relationships with</w:t>
      </w:r>
      <w:r w:rsidR="00160482">
        <w:t xml:space="preserve"> </w:t>
      </w:r>
      <w:r w:rsidR="002F5E12">
        <w:t>key stakeholder</w:t>
      </w:r>
      <w:r w:rsidR="00277E8A">
        <w:t>s</w:t>
      </w:r>
      <w:r w:rsidR="00D03B62">
        <w:t>, optimising procedures</w:t>
      </w:r>
      <w:r w:rsidR="00D41102">
        <w:t xml:space="preserve"> and ensuring compliance with funding agreements</w:t>
      </w:r>
      <w:r w:rsidR="0019000F">
        <w:t xml:space="preserve"> and</w:t>
      </w:r>
      <w:r w:rsidR="00D41102">
        <w:t xml:space="preserve"> </w:t>
      </w:r>
      <w:r w:rsidR="0019000F">
        <w:t xml:space="preserve">relevant </w:t>
      </w:r>
      <w:r w:rsidR="00F5147C">
        <w:t>legislation</w:t>
      </w:r>
      <w:r w:rsidR="0019000F">
        <w:t>.</w:t>
      </w:r>
      <w:r w:rsidR="009171A4">
        <w:t xml:space="preserve"> </w:t>
      </w:r>
      <w:r w:rsidR="002F6BE1">
        <w:t xml:space="preserve">The </w:t>
      </w:r>
      <w:r w:rsidR="00252962">
        <w:t xml:space="preserve">position will </w:t>
      </w:r>
      <w:r w:rsidR="00D3579C">
        <w:t xml:space="preserve">drive continuous improvement and </w:t>
      </w:r>
      <w:r w:rsidR="00252962">
        <w:t>have a lead role in</w:t>
      </w:r>
      <w:r w:rsidR="007B1DC3">
        <w:t xml:space="preserve"> operationalis</w:t>
      </w:r>
      <w:r w:rsidR="00252962">
        <w:t>ing</w:t>
      </w:r>
      <w:r w:rsidR="007B1DC3">
        <w:t xml:space="preserve"> innovate new housing solutions</w:t>
      </w:r>
      <w:r w:rsidR="00717DC3">
        <w:t>.</w:t>
      </w:r>
    </w:p>
    <w:p w14:paraId="54390747" w14:textId="34FE7B15" w:rsidR="00754CE2" w:rsidRDefault="008E7D02" w:rsidP="00240FE9">
      <w:pPr>
        <w:pStyle w:val="BC"/>
      </w:pPr>
      <w:r>
        <w:t xml:space="preserve">Kids Under Cover </w:t>
      </w:r>
      <w:r w:rsidR="00886BF3">
        <w:t>housing solutions include a port</w:t>
      </w:r>
      <w:r w:rsidR="00DB605C">
        <w:t xml:space="preserve">folio of </w:t>
      </w:r>
      <w:proofErr w:type="gramStart"/>
      <w:r w:rsidR="00DB605C">
        <w:t>one and two bedroom</w:t>
      </w:r>
      <w:proofErr w:type="gramEnd"/>
      <w:r w:rsidR="00DB605C">
        <w:t xml:space="preserve"> </w:t>
      </w:r>
      <w:r>
        <w:t>studio</w:t>
      </w:r>
      <w:r w:rsidR="00DB605C">
        <w:t>s</w:t>
      </w:r>
      <w:r w:rsidR="005A6200">
        <w:t xml:space="preserve"> with ensuites</w:t>
      </w:r>
      <w:r>
        <w:t>,</w:t>
      </w:r>
      <w:r w:rsidR="00DB605C">
        <w:t xml:space="preserve"> a small fleet of</w:t>
      </w:r>
      <w:r>
        <w:t xml:space="preserve"> mobile </w:t>
      </w:r>
      <w:r w:rsidR="00DB605C">
        <w:t xml:space="preserve">and backyard </w:t>
      </w:r>
      <w:r>
        <w:t xml:space="preserve">pods and </w:t>
      </w:r>
      <w:r w:rsidR="00DB605C">
        <w:t xml:space="preserve">a growing </w:t>
      </w:r>
      <w:r w:rsidR="00D6270E">
        <w:t xml:space="preserve">number of </w:t>
      </w:r>
      <w:r>
        <w:t>Village 21s</w:t>
      </w:r>
      <w:r w:rsidR="00735CAB">
        <w:t xml:space="preserve">. The Housing Program Manager will </w:t>
      </w:r>
      <w:r w:rsidR="00A23019">
        <w:t xml:space="preserve">ensure access to these housing solutions is optimised and </w:t>
      </w:r>
      <w:r w:rsidR="00F90D0E">
        <w:t xml:space="preserve">will manage the </w:t>
      </w:r>
      <w:r w:rsidR="00754CE2">
        <w:t xml:space="preserve">asset </w:t>
      </w:r>
      <w:r w:rsidR="00F90D0E">
        <w:t xml:space="preserve">portfolio </w:t>
      </w:r>
      <w:r w:rsidR="00754CE2">
        <w:t>to</w:t>
      </w:r>
      <w:r w:rsidR="0067234A">
        <w:t xml:space="preserve"> </w:t>
      </w:r>
      <w:r w:rsidR="008568AA">
        <w:t xml:space="preserve">maximise </w:t>
      </w:r>
      <w:r w:rsidR="000D11AE">
        <w:t xml:space="preserve">safety and </w:t>
      </w:r>
      <w:r w:rsidR="009B0789">
        <w:t xml:space="preserve">housing </w:t>
      </w:r>
      <w:r w:rsidR="008568AA">
        <w:t xml:space="preserve">outcomes for </w:t>
      </w:r>
      <w:r w:rsidR="00B51E59">
        <w:t xml:space="preserve">eligible young people and </w:t>
      </w:r>
      <w:r w:rsidR="00957017">
        <w:t xml:space="preserve">their </w:t>
      </w:r>
      <w:r w:rsidR="00B51E59">
        <w:t>families.</w:t>
      </w:r>
      <w:r w:rsidR="00486499">
        <w:t xml:space="preserve"> </w:t>
      </w:r>
    </w:p>
    <w:p w14:paraId="6EB29010" w14:textId="77777777" w:rsidR="000D11AE" w:rsidRDefault="000D11AE" w:rsidP="00240FE9">
      <w:pPr>
        <w:pStyle w:val="Heading1"/>
      </w:pPr>
    </w:p>
    <w:p w14:paraId="4A084AD4" w14:textId="6E2DD0DD" w:rsidR="006A39A4" w:rsidRDefault="006A39A4" w:rsidP="00240FE9">
      <w:pPr>
        <w:pStyle w:val="Heading1"/>
      </w:pPr>
      <w:r>
        <w:t xml:space="preserve">Key </w:t>
      </w:r>
      <w:r w:rsidRPr="006A39A4">
        <w:t>Responsibility</w:t>
      </w:r>
      <w:r>
        <w:t xml:space="preserve"> Areas (KRAs)</w:t>
      </w:r>
    </w:p>
    <w:p w14:paraId="35377373" w14:textId="55F914E9" w:rsidR="00957017" w:rsidRPr="00240FE9" w:rsidRDefault="00957017" w:rsidP="00957017">
      <w:pPr>
        <w:pStyle w:val="Heading2"/>
      </w:pPr>
      <w:r>
        <w:t>Strategic Asset Management</w:t>
      </w:r>
      <w:r w:rsidR="002570FC">
        <w:t xml:space="preserve"> (</w:t>
      </w:r>
      <w:r w:rsidR="00806DC2">
        <w:t>4</w:t>
      </w:r>
      <w:r w:rsidR="0018226C">
        <w:t>5</w:t>
      </w:r>
      <w:r w:rsidR="00FB0383">
        <w:t>%)</w:t>
      </w:r>
    </w:p>
    <w:p w14:paraId="7D855301" w14:textId="77777777" w:rsidR="00080B7F" w:rsidRDefault="00080B7F" w:rsidP="00080B7F">
      <w:pPr>
        <w:pStyle w:val="TableBullet"/>
        <w:rPr>
          <w:lang w:eastAsia="en-US"/>
        </w:rPr>
      </w:pPr>
      <w:r>
        <w:rPr>
          <w:lang w:eastAsia="en-US"/>
        </w:rPr>
        <w:t>Strategic asset management</w:t>
      </w:r>
    </w:p>
    <w:p w14:paraId="7ECE39B5" w14:textId="77777777" w:rsidR="00080B7F" w:rsidRDefault="00080B7F" w:rsidP="00080B7F">
      <w:pPr>
        <w:pStyle w:val="Bullet2"/>
        <w:rPr>
          <w:lang w:eastAsia="en-US"/>
        </w:rPr>
      </w:pPr>
      <w:r>
        <w:rPr>
          <w:lang w:eastAsia="en-US"/>
        </w:rPr>
        <w:t>Lead the development, documentation and implementation of a strategic asset management strategy and report on progress against the strategy</w:t>
      </w:r>
    </w:p>
    <w:p w14:paraId="4888C7C5" w14:textId="1D825373" w:rsidR="00080B7F" w:rsidRDefault="00080B7F" w:rsidP="00080B7F">
      <w:pPr>
        <w:pStyle w:val="Bullet2"/>
      </w:pPr>
      <w:r>
        <w:t>Identify efficient and cost-effective initiatives to achieve optimal return on investment</w:t>
      </w:r>
      <w:r w:rsidR="00851E43">
        <w:t xml:space="preserve">, including review of the mix of in-house vs externally contracted maintenance services </w:t>
      </w:r>
    </w:p>
    <w:p w14:paraId="5D761506" w14:textId="2305878F" w:rsidR="00375C57" w:rsidRDefault="00375C57" w:rsidP="00080B7F">
      <w:pPr>
        <w:pStyle w:val="Bullet2"/>
      </w:pPr>
      <w:r>
        <w:t>Ensure maintenance response times are aligned with agre</w:t>
      </w:r>
      <w:r w:rsidR="00222E6E">
        <w:t>ed Maintenance Response Framework</w:t>
      </w:r>
    </w:p>
    <w:p w14:paraId="58E3824A" w14:textId="1FF7F700" w:rsidR="00D87675" w:rsidRDefault="00D87675" w:rsidP="00080B7F">
      <w:pPr>
        <w:pStyle w:val="Bullet2"/>
      </w:pPr>
      <w:r>
        <w:t xml:space="preserve">Critically analyse trends in maintenance and asset expenditure and target areas for </w:t>
      </w:r>
      <w:r w:rsidR="00E96324">
        <w:t>improvement</w:t>
      </w:r>
    </w:p>
    <w:p w14:paraId="264E2D84" w14:textId="4C249D71" w:rsidR="0067437F" w:rsidRDefault="008073E8" w:rsidP="0067437F">
      <w:pPr>
        <w:pStyle w:val="Bullet2"/>
      </w:pPr>
      <w:r>
        <w:t>Strategically manage a</w:t>
      </w:r>
      <w:r w:rsidR="0067437F">
        <w:t>sset relocations, decommissions and Deeds of Sale</w:t>
      </w:r>
    </w:p>
    <w:p w14:paraId="4264A383" w14:textId="5C967C68" w:rsidR="00080B7F" w:rsidRDefault="003252CA" w:rsidP="00080B7F">
      <w:pPr>
        <w:pStyle w:val="Bullet2"/>
        <w:rPr>
          <w:lang w:eastAsia="en-US"/>
        </w:rPr>
      </w:pPr>
      <w:r>
        <w:t>Manage i</w:t>
      </w:r>
      <w:r w:rsidR="00080B7F">
        <w:t>nsurance claims &amp; reporting</w:t>
      </w:r>
    </w:p>
    <w:p w14:paraId="070420A2" w14:textId="7A815738" w:rsidR="00463465" w:rsidRDefault="00463465" w:rsidP="00957017">
      <w:pPr>
        <w:pStyle w:val="TableBullet"/>
        <w:rPr>
          <w:lang w:eastAsia="en-US"/>
        </w:rPr>
      </w:pPr>
      <w:r>
        <w:rPr>
          <w:lang w:eastAsia="en-US"/>
        </w:rPr>
        <w:lastRenderedPageBreak/>
        <w:t>Management of internal audit and maintenance program</w:t>
      </w:r>
    </w:p>
    <w:p w14:paraId="79CB66CE" w14:textId="2EF18876" w:rsidR="00463465" w:rsidRDefault="007D0175" w:rsidP="00463465">
      <w:pPr>
        <w:pStyle w:val="Bullet2"/>
        <w:rPr>
          <w:lang w:eastAsia="en-US"/>
        </w:rPr>
      </w:pPr>
      <w:r>
        <w:rPr>
          <w:lang w:eastAsia="en-US"/>
        </w:rPr>
        <w:t xml:space="preserve">Provide leadership </w:t>
      </w:r>
      <w:r w:rsidR="006A1B12">
        <w:rPr>
          <w:lang w:eastAsia="en-US"/>
        </w:rPr>
        <w:t xml:space="preserve">and </w:t>
      </w:r>
      <w:r>
        <w:rPr>
          <w:lang w:eastAsia="en-US"/>
        </w:rPr>
        <w:t>supervision of KUC’s internal maintenance technicians</w:t>
      </w:r>
      <w:r w:rsidR="006A1B12">
        <w:rPr>
          <w:lang w:eastAsia="en-US"/>
        </w:rPr>
        <w:t xml:space="preserve"> to optimise performance</w:t>
      </w:r>
      <w:r w:rsidR="00BE4551">
        <w:rPr>
          <w:lang w:eastAsia="en-US"/>
        </w:rPr>
        <w:t xml:space="preserve"> </w:t>
      </w:r>
    </w:p>
    <w:p w14:paraId="1A7EBA69" w14:textId="78067A76" w:rsidR="001651A6" w:rsidRDefault="001651A6" w:rsidP="00463465">
      <w:pPr>
        <w:pStyle w:val="Bullet2"/>
        <w:rPr>
          <w:lang w:eastAsia="en-US"/>
        </w:rPr>
      </w:pPr>
      <w:r>
        <w:rPr>
          <w:lang w:eastAsia="en-US"/>
        </w:rPr>
        <w:t>Mana</w:t>
      </w:r>
      <w:r w:rsidR="00222E6E">
        <w:rPr>
          <w:lang w:eastAsia="en-US"/>
        </w:rPr>
        <w:t>g</w:t>
      </w:r>
      <w:r>
        <w:rPr>
          <w:lang w:eastAsia="en-US"/>
        </w:rPr>
        <w:t>e and support direct reports to achieve agreed Key Performance Indicators</w:t>
      </w:r>
    </w:p>
    <w:p w14:paraId="0C99D96D" w14:textId="6F5755F8" w:rsidR="00163D8B" w:rsidRDefault="00BC7205" w:rsidP="00463465">
      <w:pPr>
        <w:pStyle w:val="Bullet2"/>
        <w:rPr>
          <w:lang w:eastAsia="en-US"/>
        </w:rPr>
      </w:pPr>
      <w:r>
        <w:rPr>
          <w:lang w:eastAsia="en-US"/>
        </w:rPr>
        <w:t xml:space="preserve">Review audit reports </w:t>
      </w:r>
      <w:r w:rsidR="00E776B4">
        <w:rPr>
          <w:lang w:eastAsia="en-US"/>
        </w:rPr>
        <w:t xml:space="preserve">and ensure </w:t>
      </w:r>
      <w:r w:rsidR="00C319B6">
        <w:rPr>
          <w:lang w:eastAsia="en-US"/>
        </w:rPr>
        <w:t xml:space="preserve">identified maintenance is undertaken </w:t>
      </w:r>
      <w:r w:rsidR="007427CC">
        <w:rPr>
          <w:lang w:eastAsia="en-US"/>
        </w:rPr>
        <w:t xml:space="preserve">to meet </w:t>
      </w:r>
      <w:r w:rsidR="0071559D">
        <w:rPr>
          <w:lang w:eastAsia="en-US"/>
        </w:rPr>
        <w:t>asset</w:t>
      </w:r>
      <w:r w:rsidR="00696874">
        <w:rPr>
          <w:lang w:eastAsia="en-US"/>
        </w:rPr>
        <w:t xml:space="preserve"> </w:t>
      </w:r>
      <w:r w:rsidR="00E776B4">
        <w:rPr>
          <w:lang w:eastAsia="en-US"/>
        </w:rPr>
        <w:t>safety standard</w:t>
      </w:r>
      <w:r w:rsidR="0021225D">
        <w:rPr>
          <w:lang w:eastAsia="en-US"/>
        </w:rPr>
        <w:t>s</w:t>
      </w:r>
    </w:p>
    <w:p w14:paraId="492AB5A9" w14:textId="1568C452" w:rsidR="00230010" w:rsidRDefault="00163D8B" w:rsidP="00463465">
      <w:pPr>
        <w:pStyle w:val="Bullet2"/>
        <w:rPr>
          <w:lang w:eastAsia="en-US"/>
        </w:rPr>
      </w:pPr>
      <w:r>
        <w:rPr>
          <w:lang w:eastAsia="en-US"/>
        </w:rPr>
        <w:t>Ensure</w:t>
      </w:r>
      <w:r w:rsidR="00B85985">
        <w:rPr>
          <w:lang w:eastAsia="en-US"/>
        </w:rPr>
        <w:t xml:space="preserve"> audit details are th</w:t>
      </w:r>
      <w:r w:rsidR="000B67CD">
        <w:rPr>
          <w:lang w:eastAsia="en-US"/>
        </w:rPr>
        <w:t xml:space="preserve">oroughly </w:t>
      </w:r>
      <w:r w:rsidR="00B85985">
        <w:rPr>
          <w:lang w:eastAsia="en-US"/>
        </w:rPr>
        <w:t xml:space="preserve">documented </w:t>
      </w:r>
      <w:r w:rsidR="000B67CD">
        <w:rPr>
          <w:lang w:eastAsia="en-US"/>
        </w:rPr>
        <w:t>in a way that facilitates ease of reporting</w:t>
      </w:r>
      <w:r>
        <w:rPr>
          <w:lang w:eastAsia="en-US"/>
        </w:rPr>
        <w:t xml:space="preserve"> and r</w:t>
      </w:r>
      <w:r w:rsidR="00230010">
        <w:rPr>
          <w:lang w:eastAsia="en-US"/>
        </w:rPr>
        <w:t>egular</w:t>
      </w:r>
      <w:r w:rsidR="00485C62">
        <w:rPr>
          <w:lang w:eastAsia="en-US"/>
        </w:rPr>
        <w:t>ly</w:t>
      </w:r>
      <w:r w:rsidR="00230010">
        <w:rPr>
          <w:lang w:eastAsia="en-US"/>
        </w:rPr>
        <w:t xml:space="preserve"> report on </w:t>
      </w:r>
      <w:r w:rsidR="008121CC">
        <w:rPr>
          <w:lang w:eastAsia="en-US"/>
        </w:rPr>
        <w:t>status of KUC audit program and in-house maintenance</w:t>
      </w:r>
    </w:p>
    <w:p w14:paraId="66C634B4" w14:textId="0F61F9B3" w:rsidR="003F3993" w:rsidRDefault="003F3993" w:rsidP="00463465">
      <w:pPr>
        <w:pStyle w:val="Bullet2"/>
        <w:rPr>
          <w:lang w:eastAsia="en-US"/>
        </w:rPr>
      </w:pPr>
      <w:r>
        <w:rPr>
          <w:lang w:eastAsia="en-US"/>
        </w:rPr>
        <w:t xml:space="preserve">Ensure maintenance scheduling achieves a balance between productivity and WH&amp;S </w:t>
      </w:r>
      <w:r w:rsidR="00183DD1">
        <w:rPr>
          <w:lang w:eastAsia="en-US"/>
        </w:rPr>
        <w:t>standards</w:t>
      </w:r>
    </w:p>
    <w:p w14:paraId="4828AFA9" w14:textId="6808B377" w:rsidR="00E96324" w:rsidRDefault="00E96324" w:rsidP="00463465">
      <w:pPr>
        <w:pStyle w:val="Bullet2"/>
        <w:rPr>
          <w:lang w:eastAsia="en-US"/>
        </w:rPr>
      </w:pPr>
      <w:r>
        <w:rPr>
          <w:lang w:eastAsia="en-US"/>
        </w:rPr>
        <w:t xml:space="preserve">Ensure compliance </w:t>
      </w:r>
      <w:r w:rsidR="0021682C">
        <w:rPr>
          <w:lang w:eastAsia="en-US"/>
        </w:rPr>
        <w:t>with funding agreements, legislation and other regulatory requirements including fire safety</w:t>
      </w:r>
    </w:p>
    <w:p w14:paraId="30D8B806" w14:textId="10E66ED7" w:rsidR="00BA471B" w:rsidRDefault="00BA471B" w:rsidP="00463465">
      <w:pPr>
        <w:pStyle w:val="Bullet2"/>
        <w:rPr>
          <w:lang w:eastAsia="en-US"/>
        </w:rPr>
      </w:pPr>
      <w:r>
        <w:rPr>
          <w:lang w:eastAsia="en-US"/>
        </w:rPr>
        <w:t xml:space="preserve">Monitor equipment inventory and ensure </w:t>
      </w:r>
      <w:r w:rsidR="00D00AC5">
        <w:rPr>
          <w:lang w:eastAsia="en-US"/>
        </w:rPr>
        <w:t xml:space="preserve">necessary resources are available to the </w:t>
      </w:r>
      <w:r>
        <w:rPr>
          <w:lang w:eastAsia="en-US"/>
        </w:rPr>
        <w:t xml:space="preserve">maintenance </w:t>
      </w:r>
      <w:r w:rsidR="00D00AC5">
        <w:rPr>
          <w:lang w:eastAsia="en-US"/>
        </w:rPr>
        <w:t>team</w:t>
      </w:r>
    </w:p>
    <w:p w14:paraId="1E64412E" w14:textId="2DF2A17F" w:rsidR="00D00AC5" w:rsidRDefault="00F228E6" w:rsidP="00463465">
      <w:pPr>
        <w:pStyle w:val="Bullet2"/>
        <w:rPr>
          <w:lang w:eastAsia="en-US"/>
        </w:rPr>
      </w:pPr>
      <w:r>
        <w:rPr>
          <w:lang w:eastAsia="en-US"/>
        </w:rPr>
        <w:t>Identify key maintenance service delivery risks and ensure mitigation strategies are in place to manage risks</w:t>
      </w:r>
    </w:p>
    <w:p w14:paraId="51961D41" w14:textId="036902F3" w:rsidR="00957017" w:rsidRDefault="00E97ED6" w:rsidP="00957017">
      <w:pPr>
        <w:pStyle w:val="TableBullet"/>
        <w:rPr>
          <w:lang w:eastAsia="en-US"/>
        </w:rPr>
      </w:pPr>
      <w:r>
        <w:rPr>
          <w:lang w:eastAsia="en-US"/>
        </w:rPr>
        <w:t xml:space="preserve">Management of </w:t>
      </w:r>
      <w:r w:rsidR="00463465">
        <w:rPr>
          <w:lang w:eastAsia="en-US"/>
        </w:rPr>
        <w:t xml:space="preserve">externally contracted </w:t>
      </w:r>
      <w:r>
        <w:rPr>
          <w:lang w:eastAsia="en-US"/>
        </w:rPr>
        <w:t>maintenance</w:t>
      </w:r>
    </w:p>
    <w:p w14:paraId="4B22031F" w14:textId="77777777" w:rsidR="005C6C5F" w:rsidRDefault="00B41641" w:rsidP="00E97ED6">
      <w:pPr>
        <w:pStyle w:val="Bullet2"/>
        <w:rPr>
          <w:lang w:eastAsia="en-US"/>
        </w:rPr>
      </w:pPr>
      <w:r>
        <w:rPr>
          <w:lang w:eastAsia="en-US"/>
        </w:rPr>
        <w:t>Work collaboratively with external maintenance suppliers to ensure</w:t>
      </w:r>
      <w:r w:rsidR="005C6C5F">
        <w:rPr>
          <w:lang w:eastAsia="en-US"/>
        </w:rPr>
        <w:t>:</w:t>
      </w:r>
    </w:p>
    <w:p w14:paraId="437C098C" w14:textId="0D13F68D" w:rsidR="008F4600" w:rsidRDefault="008F4600" w:rsidP="00EB2188">
      <w:pPr>
        <w:pStyle w:val="Bullet2"/>
        <w:numPr>
          <w:ilvl w:val="3"/>
          <w:numId w:val="1"/>
        </w:numPr>
        <w:ind w:left="2268" w:hanging="425"/>
        <w:rPr>
          <w:lang w:eastAsia="en-US"/>
        </w:rPr>
      </w:pPr>
      <w:r>
        <w:rPr>
          <w:lang w:eastAsia="en-US"/>
        </w:rPr>
        <w:t>effective and efficient delivery of maintenance that adheres to agreed Maintenance Response timeframes</w:t>
      </w:r>
      <w:r w:rsidR="007138ED">
        <w:rPr>
          <w:lang w:eastAsia="en-US"/>
        </w:rPr>
        <w:t>,</w:t>
      </w:r>
      <w:r w:rsidR="00B37E08">
        <w:rPr>
          <w:lang w:eastAsia="en-US"/>
        </w:rPr>
        <w:t xml:space="preserve"> safety standards</w:t>
      </w:r>
      <w:r w:rsidR="007138ED">
        <w:rPr>
          <w:lang w:eastAsia="en-US"/>
        </w:rPr>
        <w:t xml:space="preserve"> and other regulatory requirements</w:t>
      </w:r>
    </w:p>
    <w:p w14:paraId="53970A46" w14:textId="76AAFD4F" w:rsidR="005C6C5F" w:rsidRDefault="00A8737F" w:rsidP="00EB2188">
      <w:pPr>
        <w:pStyle w:val="Bullet2"/>
        <w:numPr>
          <w:ilvl w:val="3"/>
          <w:numId w:val="1"/>
        </w:numPr>
        <w:ind w:left="2268" w:hanging="425"/>
        <w:rPr>
          <w:lang w:eastAsia="en-US"/>
        </w:rPr>
      </w:pPr>
      <w:r>
        <w:rPr>
          <w:lang w:eastAsia="en-US"/>
        </w:rPr>
        <w:t xml:space="preserve">capture of data to </w:t>
      </w:r>
      <w:r w:rsidR="006B4A19">
        <w:rPr>
          <w:lang w:eastAsia="en-US"/>
        </w:rPr>
        <w:t xml:space="preserve">enable </w:t>
      </w:r>
      <w:r w:rsidR="00517302">
        <w:rPr>
          <w:lang w:eastAsia="en-US"/>
        </w:rPr>
        <w:t xml:space="preserve">analysis and </w:t>
      </w:r>
      <w:r w:rsidR="006C4D62">
        <w:rPr>
          <w:lang w:eastAsia="en-US"/>
        </w:rPr>
        <w:t xml:space="preserve">reporting that will drive </w:t>
      </w:r>
      <w:r w:rsidR="00814232">
        <w:rPr>
          <w:lang w:eastAsia="en-US"/>
        </w:rPr>
        <w:t xml:space="preserve">improvements in </w:t>
      </w:r>
      <w:r w:rsidR="00AD5262">
        <w:rPr>
          <w:lang w:eastAsia="en-US"/>
        </w:rPr>
        <w:t xml:space="preserve">quality and </w:t>
      </w:r>
      <w:r w:rsidR="00814232">
        <w:rPr>
          <w:lang w:eastAsia="en-US"/>
        </w:rPr>
        <w:t>cost effectiveness</w:t>
      </w:r>
      <w:r w:rsidR="00AD5262">
        <w:rPr>
          <w:lang w:eastAsia="en-US"/>
        </w:rPr>
        <w:t xml:space="preserve"> </w:t>
      </w:r>
    </w:p>
    <w:p w14:paraId="115C323F" w14:textId="207923C0" w:rsidR="00E97ED6" w:rsidRDefault="007C5365" w:rsidP="00E97ED6">
      <w:pPr>
        <w:pStyle w:val="Bullet2"/>
        <w:rPr>
          <w:lang w:eastAsia="en-US"/>
        </w:rPr>
      </w:pPr>
      <w:r w:rsidRPr="6E6FBC7F">
        <w:rPr>
          <w:lang w:eastAsia="en-US"/>
        </w:rPr>
        <w:t xml:space="preserve">Ensure external maintenance contractors </w:t>
      </w:r>
      <w:r w:rsidR="00DD6909" w:rsidRPr="6E6FBC7F">
        <w:rPr>
          <w:lang w:eastAsia="en-US"/>
        </w:rPr>
        <w:t>adhere to child safe requirements</w:t>
      </w:r>
      <w:r w:rsidR="00364E32" w:rsidRPr="6E6FBC7F">
        <w:rPr>
          <w:lang w:eastAsia="en-US"/>
        </w:rPr>
        <w:t xml:space="preserve"> and KUC policies and procedures regarding engagement with families and young people</w:t>
      </w:r>
    </w:p>
    <w:p w14:paraId="4E41E2AA" w14:textId="77777777" w:rsidR="00031AEB" w:rsidRDefault="00031AEB" w:rsidP="00031AEB">
      <w:pPr>
        <w:pStyle w:val="TableBullet"/>
      </w:pPr>
      <w:r>
        <w:t>Contribute to the operationalisation of innovative new housing solutions</w:t>
      </w:r>
    </w:p>
    <w:p w14:paraId="74A94358" w14:textId="77777777" w:rsidR="00806DC2" w:rsidRDefault="00806DC2" w:rsidP="00806DC2">
      <w:pPr>
        <w:pStyle w:val="Heading2"/>
      </w:pPr>
      <w:r>
        <w:t>Tenancy Management</w:t>
      </w:r>
      <w:r w:rsidRPr="0018226C">
        <w:t xml:space="preserve"> (</w:t>
      </w:r>
      <w:r>
        <w:t>25</w:t>
      </w:r>
      <w:r w:rsidRPr="0018226C">
        <w:t>%)</w:t>
      </w:r>
    </w:p>
    <w:p w14:paraId="1C8977E3" w14:textId="77777777" w:rsidR="00806DC2" w:rsidRDefault="00806DC2" w:rsidP="00806DC2">
      <w:pPr>
        <w:pStyle w:val="TableBullet"/>
      </w:pPr>
      <w:r>
        <w:t>Review and improve referral and applications processes for KUC studios, streamlining processes through the optimisation of technology</w:t>
      </w:r>
    </w:p>
    <w:p w14:paraId="60C90F1D" w14:textId="77777777" w:rsidR="00806DC2" w:rsidRDefault="00806DC2" w:rsidP="00806DC2">
      <w:pPr>
        <w:pStyle w:val="TableBullet"/>
      </w:pPr>
      <w:r>
        <w:t>Provide leadership and supervision of all functions undertaken by the Specialist Youth Housing Worker and ensure efficient and effective processes are in place for:</w:t>
      </w:r>
    </w:p>
    <w:p w14:paraId="1C55A899" w14:textId="77777777" w:rsidR="00806DC2" w:rsidRDefault="00806DC2" w:rsidP="00806DC2">
      <w:pPr>
        <w:pStyle w:val="Bullet2"/>
      </w:pPr>
      <w:r>
        <w:t>Management of Village 21 Occupation Licences, fees, arrears management, property inspections and vacancies</w:t>
      </w:r>
    </w:p>
    <w:p w14:paraId="1D31BFFD" w14:textId="77777777" w:rsidR="00806DC2" w:rsidRDefault="00806DC2" w:rsidP="00806DC2">
      <w:pPr>
        <w:pStyle w:val="Bullet2"/>
      </w:pPr>
      <w:r>
        <w:t>Studio program eligibility management</w:t>
      </w:r>
    </w:p>
    <w:p w14:paraId="189F0E8D" w14:textId="77777777" w:rsidR="00806DC2" w:rsidRDefault="00806DC2" w:rsidP="00806DC2">
      <w:pPr>
        <w:pStyle w:val="Bullet2"/>
      </w:pPr>
      <w:r>
        <w:t>Internal and externally contracted maintenance</w:t>
      </w:r>
    </w:p>
    <w:p w14:paraId="28FDEF32" w14:textId="77777777" w:rsidR="00806DC2" w:rsidRDefault="00806DC2" w:rsidP="00806DC2">
      <w:pPr>
        <w:pStyle w:val="Bullet2"/>
      </w:pPr>
      <w:r>
        <w:t>Resolution of occupancy related issues/breaches such as wilful damage or misuse of housing assets</w:t>
      </w:r>
    </w:p>
    <w:p w14:paraId="30CE1EF1" w14:textId="77777777" w:rsidR="00806DC2" w:rsidRDefault="00806DC2" w:rsidP="00806DC2">
      <w:pPr>
        <w:pStyle w:val="TableBullet"/>
      </w:pPr>
      <w:r>
        <w:t>Identify key tenancy related risks and ensure mitigation strategies are in place to manage these risks</w:t>
      </w:r>
    </w:p>
    <w:p w14:paraId="6E85CBDB" w14:textId="77777777" w:rsidR="00806DC2" w:rsidRDefault="00806DC2" w:rsidP="00806DC2">
      <w:pPr>
        <w:pStyle w:val="TableBullet"/>
      </w:pPr>
      <w:r>
        <w:t>Ensure client and asset data is captured in data management systems in a way that enables reporting of key metrics</w:t>
      </w:r>
    </w:p>
    <w:p w14:paraId="1DEA7544" w14:textId="77777777" w:rsidR="00806DC2" w:rsidRDefault="00806DC2" w:rsidP="00806DC2">
      <w:pPr>
        <w:pStyle w:val="TableBullet"/>
      </w:pPr>
      <w:r>
        <w:t>Act as a point of escalation for complaints/resolution of challenging tenancy related issues</w:t>
      </w:r>
    </w:p>
    <w:p w14:paraId="46A169F9" w14:textId="77777777" w:rsidR="00806DC2" w:rsidRDefault="00806DC2" w:rsidP="00806DC2">
      <w:pPr>
        <w:pStyle w:val="TableBullet"/>
      </w:pPr>
      <w:r>
        <w:t>Regularly report on key tenancy metrics, critically analysing data to drive continuous improvement</w:t>
      </w:r>
    </w:p>
    <w:p w14:paraId="7B4DD9CB" w14:textId="77777777" w:rsidR="00806DC2" w:rsidRDefault="00806DC2" w:rsidP="6E6FBC7F">
      <w:pPr>
        <w:pStyle w:val="Heading2"/>
        <w:tabs>
          <w:tab w:val="clear" w:pos="4513"/>
          <w:tab w:val="clear" w:pos="9026"/>
        </w:tabs>
        <w:jc w:val="left"/>
      </w:pPr>
    </w:p>
    <w:p w14:paraId="268E7E46" w14:textId="7E9A2A18" w:rsidR="00240FE9" w:rsidRPr="00234EB1" w:rsidRDefault="00240FE9" w:rsidP="6E6FBC7F">
      <w:pPr>
        <w:pStyle w:val="Heading2"/>
        <w:tabs>
          <w:tab w:val="clear" w:pos="4513"/>
          <w:tab w:val="clear" w:pos="9026"/>
        </w:tabs>
        <w:jc w:val="left"/>
      </w:pPr>
      <w:r>
        <w:t>Relationship Management (</w:t>
      </w:r>
      <w:r w:rsidR="006055DE">
        <w:t>15</w:t>
      </w:r>
      <w:r>
        <w:t>%)</w:t>
      </w:r>
    </w:p>
    <w:p w14:paraId="542E83C9" w14:textId="77777777" w:rsidR="009E27C1" w:rsidRDefault="009E27C1" w:rsidP="00D36A5E">
      <w:pPr>
        <w:pStyle w:val="TableBullet"/>
        <w:rPr>
          <w:lang w:eastAsia="en-US"/>
        </w:rPr>
      </w:pPr>
      <w:r>
        <w:rPr>
          <w:lang w:eastAsia="en-US"/>
        </w:rPr>
        <w:t>Employee management</w:t>
      </w:r>
    </w:p>
    <w:p w14:paraId="644AF3FE" w14:textId="77777777" w:rsidR="00CE0E1A" w:rsidRDefault="00D36A5E" w:rsidP="009E27C1">
      <w:pPr>
        <w:pStyle w:val="Bullet2"/>
        <w:rPr>
          <w:lang w:eastAsia="en-US"/>
        </w:rPr>
      </w:pPr>
      <w:r w:rsidRPr="005C5267">
        <w:rPr>
          <w:lang w:eastAsia="en-US"/>
        </w:rPr>
        <w:t>Lead and support direct reports, providing regular supervision</w:t>
      </w:r>
      <w:r>
        <w:rPr>
          <w:lang w:eastAsia="en-US"/>
        </w:rPr>
        <w:t xml:space="preserve"> and </w:t>
      </w:r>
      <w:r w:rsidRPr="005C5267">
        <w:rPr>
          <w:lang w:eastAsia="en-US"/>
        </w:rPr>
        <w:t xml:space="preserve">guidance </w:t>
      </w:r>
      <w:r>
        <w:rPr>
          <w:lang w:eastAsia="en-US"/>
        </w:rPr>
        <w:t xml:space="preserve">that fosters a positive culture and </w:t>
      </w:r>
      <w:r w:rsidR="00124C2E">
        <w:rPr>
          <w:lang w:eastAsia="en-US"/>
        </w:rPr>
        <w:t>a high performing team</w:t>
      </w:r>
    </w:p>
    <w:p w14:paraId="335929B8" w14:textId="4EB21EA8" w:rsidR="00D36A5E" w:rsidRPr="005C5267" w:rsidRDefault="00124C2E" w:rsidP="009E27C1">
      <w:pPr>
        <w:pStyle w:val="Bullet2"/>
        <w:rPr>
          <w:lang w:eastAsia="en-US"/>
        </w:rPr>
      </w:pPr>
      <w:r w:rsidRPr="6E6FBC7F">
        <w:rPr>
          <w:lang w:eastAsia="en-US"/>
        </w:rPr>
        <w:t xml:space="preserve">Support </w:t>
      </w:r>
      <w:r w:rsidR="00AB7324" w:rsidRPr="6E6FBC7F">
        <w:rPr>
          <w:lang w:eastAsia="en-US"/>
        </w:rPr>
        <w:t>employee wellbeing</w:t>
      </w:r>
      <w:r w:rsidR="00C84068" w:rsidRPr="6E6FBC7F">
        <w:rPr>
          <w:lang w:eastAsia="en-US"/>
        </w:rPr>
        <w:t xml:space="preserve"> by maintaining a safe workspace and consult with employees on issues that impact work, health and safety</w:t>
      </w:r>
    </w:p>
    <w:p w14:paraId="438F0DE9" w14:textId="611E761B" w:rsidR="00240FE9" w:rsidRPr="00151DA8" w:rsidRDefault="00240FE9" w:rsidP="00240FE9">
      <w:pPr>
        <w:pStyle w:val="TableBullet"/>
        <w:rPr>
          <w:lang w:eastAsia="en-US"/>
        </w:rPr>
      </w:pPr>
      <w:r w:rsidRPr="00D73FD5">
        <w:rPr>
          <w:lang w:eastAsia="en-US"/>
        </w:rPr>
        <w:t>Liaise effectively with external stakeholders</w:t>
      </w:r>
      <w:r w:rsidR="00FC40FD" w:rsidRPr="00D73FD5">
        <w:rPr>
          <w:lang w:eastAsia="en-US"/>
        </w:rPr>
        <w:t xml:space="preserve">, with a particular focus on </w:t>
      </w:r>
      <w:r w:rsidR="00BD0CC0" w:rsidRPr="00D73FD5">
        <w:rPr>
          <w:lang w:eastAsia="en-US"/>
        </w:rPr>
        <w:t xml:space="preserve">maintaining a strong and </w:t>
      </w:r>
      <w:r w:rsidR="00BD0CC0" w:rsidRPr="00151DA8">
        <w:rPr>
          <w:lang w:eastAsia="en-US"/>
        </w:rPr>
        <w:t xml:space="preserve">collaborative working relationship with </w:t>
      </w:r>
      <w:r w:rsidR="00D4748B" w:rsidRPr="00151DA8">
        <w:rPr>
          <w:lang w:eastAsia="en-US"/>
        </w:rPr>
        <w:t xml:space="preserve">external </w:t>
      </w:r>
      <w:r w:rsidR="00D73FD5" w:rsidRPr="00151DA8">
        <w:rPr>
          <w:lang w:eastAsia="en-US"/>
        </w:rPr>
        <w:t>service delivery partners</w:t>
      </w:r>
    </w:p>
    <w:p w14:paraId="7D50AD13" w14:textId="49979C5F" w:rsidR="00BD57AB" w:rsidRPr="00151DA8" w:rsidRDefault="005006C6" w:rsidP="00240FE9">
      <w:pPr>
        <w:pStyle w:val="TableBullet"/>
        <w:rPr>
          <w:lang w:eastAsia="en-US"/>
        </w:rPr>
      </w:pPr>
      <w:r w:rsidRPr="00151DA8">
        <w:rPr>
          <w:lang w:eastAsia="en-US"/>
        </w:rPr>
        <w:t>Lead Village 21 operational meetings</w:t>
      </w:r>
      <w:r w:rsidR="00EA3D94" w:rsidRPr="00151DA8">
        <w:rPr>
          <w:lang w:eastAsia="en-US"/>
        </w:rPr>
        <w:t xml:space="preserve"> </w:t>
      </w:r>
      <w:r w:rsidR="005E71CA" w:rsidRPr="00151DA8">
        <w:rPr>
          <w:lang w:eastAsia="en-US"/>
        </w:rPr>
        <w:t xml:space="preserve">and develop strong relationships </w:t>
      </w:r>
      <w:r w:rsidR="00EA3D94" w:rsidRPr="00151DA8">
        <w:rPr>
          <w:lang w:eastAsia="en-US"/>
        </w:rPr>
        <w:t>with community service support providers</w:t>
      </w:r>
      <w:r w:rsidRPr="00151DA8">
        <w:rPr>
          <w:lang w:eastAsia="en-US"/>
        </w:rPr>
        <w:t xml:space="preserve"> </w:t>
      </w:r>
      <w:r w:rsidR="005E71CA" w:rsidRPr="00151DA8">
        <w:rPr>
          <w:lang w:eastAsia="en-US"/>
        </w:rPr>
        <w:t>to</w:t>
      </w:r>
      <w:r w:rsidR="004E4A0E" w:rsidRPr="00151DA8">
        <w:rPr>
          <w:lang w:eastAsia="en-US"/>
        </w:rPr>
        <w:t xml:space="preserve"> ensure</w:t>
      </w:r>
      <w:r w:rsidR="00BD57AB" w:rsidRPr="00151DA8">
        <w:rPr>
          <w:lang w:eastAsia="en-US"/>
        </w:rPr>
        <w:t>:</w:t>
      </w:r>
    </w:p>
    <w:p w14:paraId="367F9A6B" w14:textId="58DAF02A" w:rsidR="004E4A0E" w:rsidRPr="00151DA8" w:rsidRDefault="005E71CA" w:rsidP="00BD57AB">
      <w:pPr>
        <w:pStyle w:val="Bullet2"/>
        <w:rPr>
          <w:lang w:eastAsia="en-US"/>
        </w:rPr>
      </w:pPr>
      <w:r w:rsidRPr="00151DA8">
        <w:rPr>
          <w:lang w:eastAsia="en-US"/>
        </w:rPr>
        <w:t>effective communication regarding</w:t>
      </w:r>
      <w:r w:rsidR="005006C6" w:rsidRPr="00151DA8">
        <w:rPr>
          <w:lang w:eastAsia="en-US"/>
        </w:rPr>
        <w:t xml:space="preserve"> tenancy and asset management functions</w:t>
      </w:r>
    </w:p>
    <w:p w14:paraId="62156C40" w14:textId="6B45DA13" w:rsidR="00240FE9" w:rsidRDefault="005E71CA" w:rsidP="00BD57AB">
      <w:pPr>
        <w:pStyle w:val="Bullet2"/>
        <w:rPr>
          <w:lang w:eastAsia="en-US"/>
        </w:rPr>
      </w:pPr>
      <w:r w:rsidRPr="00151DA8">
        <w:rPr>
          <w:lang w:eastAsia="en-US"/>
        </w:rPr>
        <w:t>shar</w:t>
      </w:r>
      <w:r w:rsidR="00151DA8" w:rsidRPr="00151DA8">
        <w:rPr>
          <w:lang w:eastAsia="en-US"/>
        </w:rPr>
        <w:t>ing of</w:t>
      </w:r>
      <w:r w:rsidRPr="00151DA8">
        <w:rPr>
          <w:lang w:eastAsia="en-US"/>
        </w:rPr>
        <w:t xml:space="preserve"> information regarding</w:t>
      </w:r>
      <w:r w:rsidR="00BD57AB" w:rsidRPr="00151DA8">
        <w:rPr>
          <w:lang w:eastAsia="en-US"/>
        </w:rPr>
        <w:t xml:space="preserve"> tenant wellbeing </w:t>
      </w:r>
      <w:r w:rsidR="004E4A0E" w:rsidRPr="00151DA8">
        <w:rPr>
          <w:lang w:eastAsia="en-US"/>
        </w:rPr>
        <w:t xml:space="preserve">and </w:t>
      </w:r>
      <w:r w:rsidR="00151DA8" w:rsidRPr="00151DA8">
        <w:rPr>
          <w:lang w:eastAsia="en-US"/>
        </w:rPr>
        <w:t xml:space="preserve">the development of shared strategies to </w:t>
      </w:r>
      <w:r w:rsidR="00151DA8" w:rsidRPr="005C5267">
        <w:rPr>
          <w:lang w:eastAsia="en-US"/>
        </w:rPr>
        <w:t>address any issues that arise</w:t>
      </w:r>
    </w:p>
    <w:p w14:paraId="24C5D845" w14:textId="3D7CEC28" w:rsidR="00036464" w:rsidRDefault="009E7750" w:rsidP="009575C8">
      <w:pPr>
        <w:pStyle w:val="Bullet"/>
        <w:rPr>
          <w:lang w:eastAsia="en-US"/>
        </w:rPr>
      </w:pPr>
      <w:r w:rsidRPr="6E6FBC7F">
        <w:rPr>
          <w:lang w:eastAsia="en-US"/>
        </w:rPr>
        <w:t xml:space="preserve">Engage with key </w:t>
      </w:r>
      <w:r w:rsidR="00A90707" w:rsidRPr="6E6FBC7F">
        <w:rPr>
          <w:lang w:eastAsia="en-US"/>
        </w:rPr>
        <w:t>referring organisations</w:t>
      </w:r>
      <w:r w:rsidRPr="6E6FBC7F">
        <w:rPr>
          <w:lang w:eastAsia="en-US"/>
        </w:rPr>
        <w:t xml:space="preserve">, providing information and </w:t>
      </w:r>
      <w:r w:rsidR="00F96881" w:rsidRPr="6E6FBC7F">
        <w:rPr>
          <w:lang w:eastAsia="en-US"/>
        </w:rPr>
        <w:t>actively promoting the KUC housing program</w:t>
      </w:r>
    </w:p>
    <w:p w14:paraId="1A1B7FE5" w14:textId="25D984BC" w:rsidR="00240FE9" w:rsidRDefault="00240FE9" w:rsidP="00240FE9">
      <w:pPr>
        <w:pStyle w:val="Heading2"/>
      </w:pPr>
      <w:r>
        <w:t xml:space="preserve">Financial </w:t>
      </w:r>
      <w:r w:rsidR="00CD6E4A">
        <w:t>Management</w:t>
      </w:r>
      <w:r w:rsidR="004117FE">
        <w:t xml:space="preserve"> </w:t>
      </w:r>
      <w:r>
        <w:t>(1</w:t>
      </w:r>
      <w:r w:rsidR="00CD6E4A">
        <w:t>0</w:t>
      </w:r>
      <w:r w:rsidRPr="00F47D46">
        <w:t>%)</w:t>
      </w:r>
    </w:p>
    <w:p w14:paraId="34EF9A58" w14:textId="4EDBA528" w:rsidR="00C14C00" w:rsidRDefault="00C14C00" w:rsidP="00240FE9">
      <w:pPr>
        <w:pStyle w:val="TableBullet"/>
      </w:pPr>
      <w:r w:rsidRPr="00C14C00">
        <w:t xml:space="preserve">Ensure </w:t>
      </w:r>
      <w:r>
        <w:t xml:space="preserve">internal and external maintenance costs are strictly monitored to </w:t>
      </w:r>
      <w:r w:rsidR="00502227">
        <w:t>ensure cost-effective service delivery</w:t>
      </w:r>
      <w:r w:rsidR="00DB0A20">
        <w:t xml:space="preserve"> and provide monthly expenditure reporting against budget</w:t>
      </w:r>
    </w:p>
    <w:p w14:paraId="3D813768" w14:textId="4B5B7C90" w:rsidR="00313F2F" w:rsidRPr="00C14C00" w:rsidRDefault="00313F2F" w:rsidP="00240FE9">
      <w:pPr>
        <w:pStyle w:val="TableBullet"/>
      </w:pPr>
      <w:r>
        <w:t xml:space="preserve">Contribute to the development of </w:t>
      </w:r>
      <w:r w:rsidR="00BA0A00">
        <w:t xml:space="preserve">budgets, providing forward cost projections and ensuring a planned approach to asset </w:t>
      </w:r>
      <w:r w:rsidR="003474D2">
        <w:t xml:space="preserve">and maintenance </w:t>
      </w:r>
      <w:r w:rsidR="00BA0A00">
        <w:t>expenditure</w:t>
      </w:r>
    </w:p>
    <w:p w14:paraId="0FFD2FEB" w14:textId="55069CD7" w:rsidR="00791464" w:rsidRPr="00D82676" w:rsidRDefault="00791464" w:rsidP="00791464">
      <w:pPr>
        <w:pStyle w:val="Heading2"/>
      </w:pPr>
      <w:r>
        <w:t>Monitoring &amp; Evaluation (5%)</w:t>
      </w:r>
    </w:p>
    <w:p w14:paraId="7F23FAB2" w14:textId="77777777" w:rsidR="00791464" w:rsidRPr="00D82676" w:rsidRDefault="00791464" w:rsidP="00C40FE3">
      <w:pPr>
        <w:pStyle w:val="TableBullet"/>
      </w:pPr>
      <w:r>
        <w:t>Proactively identify opportunities for improvements in current procedures and practices</w:t>
      </w:r>
    </w:p>
    <w:p w14:paraId="225584F0" w14:textId="25718A0D" w:rsidR="00791464" w:rsidRPr="00F230E0" w:rsidRDefault="007B0BFB" w:rsidP="00C40FE3">
      <w:pPr>
        <w:pStyle w:val="TableBullet"/>
      </w:pPr>
      <w:r>
        <w:t xml:space="preserve">Work with the Head of Innovation and </w:t>
      </w:r>
      <w:r w:rsidR="00287DA6">
        <w:t>Advoca</w:t>
      </w:r>
      <w:r w:rsidR="00FF211E">
        <w:t>c</w:t>
      </w:r>
      <w:r w:rsidR="00287DA6">
        <w:t xml:space="preserve">y to ensure systems are in place to enable </w:t>
      </w:r>
      <w:r w:rsidR="00791464">
        <w:t>outcome measurement</w:t>
      </w:r>
    </w:p>
    <w:p w14:paraId="13A4A06F" w14:textId="72F78F0E" w:rsidR="00234EB1" w:rsidRDefault="00234EB1">
      <w:pPr>
        <w:tabs>
          <w:tab w:val="clear" w:pos="4513"/>
          <w:tab w:val="clear" w:pos="9026"/>
        </w:tabs>
        <w:jc w:val="left"/>
        <w:rPr>
          <w:rFonts w:eastAsiaTheme="majorEastAsia" w:cstheme="majorBidi"/>
          <w:b/>
          <w:color w:val="7AB800" w:themeColor="accent6"/>
          <w:sz w:val="20"/>
          <w:szCs w:val="18"/>
        </w:rPr>
      </w:pPr>
    </w:p>
    <w:p w14:paraId="7681441D" w14:textId="45A3768C" w:rsidR="00240FE9" w:rsidRDefault="00640927" w:rsidP="00240FE9">
      <w:pPr>
        <w:pStyle w:val="Heading1"/>
      </w:pPr>
      <w:r>
        <w:t>Selection Criteria</w:t>
      </w:r>
    </w:p>
    <w:p w14:paraId="15367517" w14:textId="304BB0F0" w:rsidR="009A34F8" w:rsidRDefault="00AB0803" w:rsidP="00AF106A">
      <w:pPr>
        <w:pStyle w:val="TableBullet"/>
        <w:ind w:hanging="567"/>
      </w:pPr>
      <w:r>
        <w:t>5</w:t>
      </w:r>
      <w:r w:rsidR="009A34F8">
        <w:t xml:space="preserve">+ years demonstrated experience in </w:t>
      </w:r>
      <w:r>
        <w:t xml:space="preserve">the management of </w:t>
      </w:r>
      <w:r w:rsidR="009B2BC8">
        <w:t xml:space="preserve">community/public </w:t>
      </w:r>
      <w:r>
        <w:t xml:space="preserve">housing programs and/or </w:t>
      </w:r>
      <w:r w:rsidR="009B2BC8">
        <w:t xml:space="preserve">related </w:t>
      </w:r>
      <w:r>
        <w:t>as</w:t>
      </w:r>
      <w:r w:rsidR="00F72F39">
        <w:t>set management</w:t>
      </w:r>
    </w:p>
    <w:p w14:paraId="236F2AEC" w14:textId="1118B5EB" w:rsidR="00DB4750" w:rsidRDefault="00DB4750" w:rsidP="00AF106A">
      <w:pPr>
        <w:pStyle w:val="TableBullet"/>
        <w:ind w:hanging="567"/>
      </w:pPr>
      <w:r>
        <w:t>Demonstrated knowledge and experience in best practice tenanc</w:t>
      </w:r>
      <w:r w:rsidR="00A75869">
        <w:t xml:space="preserve">y </w:t>
      </w:r>
      <w:r w:rsidR="00971EDA">
        <w:t xml:space="preserve">management </w:t>
      </w:r>
      <w:r w:rsidR="00493DEC">
        <w:t xml:space="preserve">and/or maintenance </w:t>
      </w:r>
      <w:r w:rsidR="3DF4238F">
        <w:t>practices</w:t>
      </w:r>
    </w:p>
    <w:p w14:paraId="00869D4D" w14:textId="0B102F5C" w:rsidR="00240FE9" w:rsidRDefault="00631382" w:rsidP="00AF106A">
      <w:pPr>
        <w:pStyle w:val="TableBullet"/>
        <w:ind w:hanging="567"/>
      </w:pPr>
      <w:r>
        <w:t>Prior experience in strategic relationship management</w:t>
      </w:r>
      <w:r w:rsidR="00193AFA">
        <w:t xml:space="preserve">, including proven strengths in </w:t>
      </w:r>
      <w:r>
        <w:t xml:space="preserve">collaboration and </w:t>
      </w:r>
      <w:r w:rsidR="00601EB7">
        <w:t>negotiatio</w:t>
      </w:r>
      <w:r w:rsidR="00AF725C">
        <w:t xml:space="preserve">n </w:t>
      </w:r>
    </w:p>
    <w:p w14:paraId="77FF5931" w14:textId="2C6C7990" w:rsidR="00240FE9" w:rsidRDefault="00AA1AE9" w:rsidP="00AF106A">
      <w:pPr>
        <w:pStyle w:val="TableBullet"/>
        <w:ind w:hanging="567"/>
      </w:pPr>
      <w:r>
        <w:t xml:space="preserve">Demonstrated </w:t>
      </w:r>
      <w:r w:rsidR="00F72F39">
        <w:t>financial acumen</w:t>
      </w:r>
      <w:r w:rsidR="00D260C9">
        <w:t xml:space="preserve"> and </w:t>
      </w:r>
      <w:r w:rsidR="00E33C97">
        <w:t xml:space="preserve">experience </w:t>
      </w:r>
      <w:r w:rsidR="00BA4C60">
        <w:t xml:space="preserve">leveraging technology </w:t>
      </w:r>
      <w:r w:rsidR="00DB4750">
        <w:t xml:space="preserve">and </w:t>
      </w:r>
      <w:r w:rsidR="00E33C97">
        <w:t xml:space="preserve">identifying cost efficiencies </w:t>
      </w:r>
    </w:p>
    <w:p w14:paraId="144C5D4B" w14:textId="7CB5780F" w:rsidR="0019243F" w:rsidRPr="00036464" w:rsidRDefault="003F6E59" w:rsidP="00AF106A">
      <w:pPr>
        <w:pStyle w:val="TableBullet"/>
        <w:ind w:hanging="567"/>
      </w:pPr>
      <w:r>
        <w:t>Extensive</w:t>
      </w:r>
      <w:r w:rsidRPr="00465A85">
        <w:t xml:space="preserve"> experience with all aspects of database management</w:t>
      </w:r>
      <w:r>
        <w:t xml:space="preserve"> and establishment/refinement of reporting systems</w:t>
      </w:r>
    </w:p>
    <w:p w14:paraId="4C26C692" w14:textId="77777777" w:rsidR="00C40FE3" w:rsidRDefault="00C40FE3">
      <w:pPr>
        <w:tabs>
          <w:tab w:val="clear" w:pos="4513"/>
          <w:tab w:val="clear" w:pos="9026"/>
        </w:tabs>
        <w:jc w:val="left"/>
        <w:rPr>
          <w:rFonts w:eastAsiaTheme="majorEastAsia" w:cstheme="majorBidi"/>
          <w:b/>
          <w:color w:val="7AB800" w:themeColor="accent6"/>
          <w:sz w:val="20"/>
          <w:szCs w:val="18"/>
        </w:rPr>
      </w:pPr>
      <w:r>
        <w:br w:type="page"/>
      </w:r>
    </w:p>
    <w:p w14:paraId="5CAEDB37" w14:textId="07D9DE03" w:rsidR="00007B4E" w:rsidRPr="00EB703E" w:rsidRDefault="00007B4E" w:rsidP="00240FE9">
      <w:pPr>
        <w:pStyle w:val="Heading1"/>
      </w:pPr>
      <w:r>
        <w:lastRenderedPageBreak/>
        <w:t>Skills &amp; Knowledge</w:t>
      </w:r>
    </w:p>
    <w:p w14:paraId="558A839A" w14:textId="77777777" w:rsidR="00F32FF8" w:rsidRPr="00F47D46" w:rsidRDefault="00F32FF8" w:rsidP="00F32FF8">
      <w:pPr>
        <w:pStyle w:val="BC"/>
      </w:pPr>
      <w:r>
        <w:rPr>
          <w:b/>
          <w:bCs/>
        </w:rPr>
        <w:t xml:space="preserve">Leadership – </w:t>
      </w:r>
      <w:r>
        <w:t>Ability to motivate a team and deliver results through leadership.</w:t>
      </w:r>
    </w:p>
    <w:p w14:paraId="12E11694" w14:textId="4D291DE9" w:rsidR="00240FE9" w:rsidRPr="00F47D46" w:rsidRDefault="00240FE9" w:rsidP="00240FE9">
      <w:pPr>
        <w:pStyle w:val="BC"/>
      </w:pPr>
      <w:r w:rsidRPr="00F47D46">
        <w:rPr>
          <w:b/>
        </w:rPr>
        <w:t xml:space="preserve">Communicates with </w:t>
      </w:r>
      <w:r>
        <w:rPr>
          <w:b/>
        </w:rPr>
        <w:t>I</w:t>
      </w:r>
      <w:r w:rsidRPr="00F47D46">
        <w:rPr>
          <w:b/>
        </w:rPr>
        <w:t>nfluenc</w:t>
      </w:r>
      <w:r w:rsidRPr="008735F6">
        <w:rPr>
          <w:b/>
        </w:rPr>
        <w:t xml:space="preserve">e – </w:t>
      </w:r>
      <w:r w:rsidRPr="00F47D46">
        <w:t>Communicate</w:t>
      </w:r>
      <w:r w:rsidR="00B23134">
        <w:t>s</w:t>
      </w:r>
      <w:r w:rsidRPr="00F47D46">
        <w:t xml:space="preserve"> clearly, actively listen to others and respond with respect.</w:t>
      </w:r>
    </w:p>
    <w:p w14:paraId="602BEB74" w14:textId="77777777" w:rsidR="00240FE9" w:rsidRDefault="00240FE9" w:rsidP="00240FE9">
      <w:pPr>
        <w:pStyle w:val="BC"/>
      </w:pPr>
      <w:r w:rsidRPr="00F47D46">
        <w:rPr>
          <w:b/>
        </w:rPr>
        <w:t xml:space="preserve">Relationship </w:t>
      </w:r>
      <w:r w:rsidRPr="008735F6">
        <w:rPr>
          <w:b/>
        </w:rPr>
        <w:t>Management –</w:t>
      </w:r>
      <w:r w:rsidRPr="00F47D46">
        <w:t xml:space="preserve"> Collaborates, cultivates and facilitates productive internal and external working relationships to influence outcomes for the benefit of K</w:t>
      </w:r>
      <w:r>
        <w:t xml:space="preserve">ids </w:t>
      </w:r>
      <w:r w:rsidRPr="00F47D46">
        <w:t>U</w:t>
      </w:r>
      <w:r>
        <w:t xml:space="preserve">nder </w:t>
      </w:r>
      <w:r w:rsidRPr="00F47D46">
        <w:t>C</w:t>
      </w:r>
      <w:r>
        <w:t>over</w:t>
      </w:r>
      <w:r w:rsidRPr="00F47D46">
        <w:t>.</w:t>
      </w:r>
    </w:p>
    <w:p w14:paraId="200350D3" w14:textId="3A406DAB" w:rsidR="00170917" w:rsidRDefault="00170917" w:rsidP="00240FE9">
      <w:pPr>
        <w:pStyle w:val="BC"/>
      </w:pPr>
      <w:r>
        <w:rPr>
          <w:b/>
          <w:bCs/>
        </w:rPr>
        <w:t xml:space="preserve">Project Management – </w:t>
      </w:r>
      <w:r>
        <w:t>Strong project management skills, to deliver with quality, on budget and on time.</w:t>
      </w:r>
    </w:p>
    <w:p w14:paraId="1A6E9088" w14:textId="7ADD10AA" w:rsidR="00B70D02" w:rsidRDefault="006E3BCA" w:rsidP="006E3BCA">
      <w:pPr>
        <w:pStyle w:val="BC"/>
        <w:jc w:val="left"/>
        <w:rPr>
          <w:b/>
        </w:rPr>
      </w:pPr>
      <w:r w:rsidRPr="005105E8">
        <w:rPr>
          <w:b/>
        </w:rPr>
        <w:t xml:space="preserve">Strategic </w:t>
      </w:r>
      <w:r>
        <w:rPr>
          <w:b/>
        </w:rPr>
        <w:t>T</w:t>
      </w:r>
      <w:r w:rsidRPr="005105E8">
        <w:rPr>
          <w:b/>
        </w:rPr>
        <w:t>hinking</w:t>
      </w:r>
      <w:r>
        <w:rPr>
          <w:b/>
        </w:rPr>
        <w:t xml:space="preserve"> - </w:t>
      </w:r>
      <w:r w:rsidRPr="000D70A0">
        <w:t>Identifies relationships between issues quickly, synthesises complex information and discerns the key implications for the organisation in the context of organisational priorities.</w:t>
      </w:r>
    </w:p>
    <w:p w14:paraId="7F2218DC" w14:textId="40A87A74" w:rsidR="00240FE9" w:rsidRDefault="00240FE9" w:rsidP="00240FE9">
      <w:pPr>
        <w:pStyle w:val="BC"/>
      </w:pPr>
      <w:r w:rsidRPr="00F47D46">
        <w:rPr>
          <w:b/>
        </w:rPr>
        <w:t xml:space="preserve">Critical </w:t>
      </w:r>
      <w:r>
        <w:rPr>
          <w:b/>
        </w:rPr>
        <w:t>T</w:t>
      </w:r>
      <w:r w:rsidRPr="00F47D46">
        <w:rPr>
          <w:b/>
        </w:rPr>
        <w:t>hinking</w:t>
      </w:r>
      <w:r w:rsidRPr="00F47D46">
        <w:t xml:space="preserve"> – Makes decisions and solves problems though research, reflection, analysis and rigorous evaluation.</w:t>
      </w:r>
    </w:p>
    <w:p w14:paraId="09604AB2" w14:textId="4878AA7F" w:rsidR="006108FB" w:rsidRPr="006108FB" w:rsidRDefault="006108FB" w:rsidP="006108FB">
      <w:pPr>
        <w:pStyle w:val="BC"/>
        <w:jc w:val="left"/>
        <w:rPr>
          <w:bCs/>
        </w:rPr>
      </w:pPr>
      <w:r w:rsidRPr="005105E8">
        <w:rPr>
          <w:b/>
        </w:rPr>
        <w:t>Negotiate</w:t>
      </w:r>
      <w:r>
        <w:rPr>
          <w:b/>
        </w:rPr>
        <w:t xml:space="preserve"> </w:t>
      </w:r>
      <w:r w:rsidRPr="005105E8">
        <w:rPr>
          <w:b/>
        </w:rPr>
        <w:t>Persuasively</w:t>
      </w:r>
      <w:r>
        <w:rPr>
          <w:b/>
        </w:rPr>
        <w:t xml:space="preserve"> - </w:t>
      </w:r>
      <w:r w:rsidRPr="006108FB">
        <w:rPr>
          <w:bCs/>
        </w:rPr>
        <w:t>Gain consensus and commitment from others and resolve issues and conflicts.</w:t>
      </w:r>
    </w:p>
    <w:p w14:paraId="5A20A376" w14:textId="2FAC8B14" w:rsidR="00240FE9" w:rsidRDefault="00240FE9" w:rsidP="00240FE9">
      <w:pPr>
        <w:pStyle w:val="BC"/>
        <w:rPr>
          <w:lang w:val="en-US"/>
        </w:rPr>
      </w:pPr>
      <w:r>
        <w:rPr>
          <w:b/>
          <w:lang w:val="en-US"/>
        </w:rPr>
        <w:t>Accountability</w:t>
      </w:r>
      <w:r w:rsidRPr="002256D3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Pr="002256D3">
        <w:rPr>
          <w:b/>
          <w:lang w:val="en-US"/>
        </w:rPr>
        <w:t xml:space="preserve"> </w:t>
      </w:r>
      <w:r w:rsidRPr="002256D3">
        <w:t>Achieve</w:t>
      </w:r>
      <w:r>
        <w:t xml:space="preserve"> </w:t>
      </w:r>
      <w:r w:rsidRPr="002256D3">
        <w:t>results through efficient use of resources and a commitment to quality outcomes</w:t>
      </w:r>
      <w:r w:rsidRPr="002256D3">
        <w:rPr>
          <w:lang w:val="en-US"/>
        </w:rPr>
        <w:t>.</w:t>
      </w:r>
    </w:p>
    <w:p w14:paraId="688FEF1E" w14:textId="36C9E079" w:rsidR="00C74AC1" w:rsidRPr="000857E0" w:rsidRDefault="00C74AC1" w:rsidP="00240FE9">
      <w:pPr>
        <w:pStyle w:val="BC"/>
        <w:rPr>
          <w:lang w:val="en-US"/>
        </w:rPr>
      </w:pPr>
      <w:r>
        <w:rPr>
          <w:b/>
          <w:bCs/>
        </w:rPr>
        <w:t xml:space="preserve">Service Orientation – </w:t>
      </w:r>
      <w:r>
        <w:t>Delivery and quality of service, both internal and external.</w:t>
      </w:r>
    </w:p>
    <w:p w14:paraId="76F04E37" w14:textId="77777777" w:rsidR="00240FE9" w:rsidRDefault="00240FE9" w:rsidP="00240FE9">
      <w:pPr>
        <w:pStyle w:val="BC"/>
      </w:pPr>
      <w:r w:rsidRPr="00F47D46">
        <w:rPr>
          <w:b/>
        </w:rPr>
        <w:t xml:space="preserve">Plan and </w:t>
      </w:r>
      <w:r>
        <w:rPr>
          <w:b/>
        </w:rPr>
        <w:t>P</w:t>
      </w:r>
      <w:r w:rsidRPr="00F47D46">
        <w:rPr>
          <w:b/>
        </w:rPr>
        <w:t>rioritise</w:t>
      </w:r>
      <w:r w:rsidRPr="008735F6">
        <w:rPr>
          <w:b/>
          <w:bCs/>
        </w:rPr>
        <w:t xml:space="preserve"> –</w:t>
      </w:r>
      <w:r w:rsidRPr="00F47D46">
        <w:t xml:space="preserve"> Plan to achieve priority outcomes and respond flexibly to changing circumstances.</w:t>
      </w:r>
    </w:p>
    <w:p w14:paraId="164B6BF2" w14:textId="77777777" w:rsidR="00240FE9" w:rsidRDefault="00240FE9" w:rsidP="00240FE9">
      <w:pPr>
        <w:pStyle w:val="BC"/>
      </w:pPr>
      <w:r w:rsidRPr="00F47D46">
        <w:rPr>
          <w:b/>
        </w:rPr>
        <w:t>Evaluate and Improve</w:t>
      </w:r>
      <w:r w:rsidRPr="008735F6">
        <w:rPr>
          <w:b/>
          <w:bCs/>
        </w:rPr>
        <w:t xml:space="preserve"> –</w:t>
      </w:r>
      <w:r w:rsidRPr="00F47D46">
        <w:t xml:space="preserve"> Evaluates processes or programs to drive continuous improvement.</w:t>
      </w:r>
    </w:p>
    <w:p w14:paraId="6678E61F" w14:textId="77777777" w:rsidR="00240FE9" w:rsidRPr="009404A6" w:rsidRDefault="00240FE9" w:rsidP="00240FE9">
      <w:pPr>
        <w:pStyle w:val="BC"/>
      </w:pPr>
      <w:r w:rsidRPr="009404A6">
        <w:rPr>
          <w:b/>
        </w:rPr>
        <w:t xml:space="preserve">Vendor Management – </w:t>
      </w:r>
      <w:r w:rsidRPr="009404A6">
        <w:t>Ability to engage in/manage diverse relationships with varied and multiple external agencies/suppliers.</w:t>
      </w:r>
    </w:p>
    <w:p w14:paraId="5C3BDD9C" w14:textId="1524D8B9" w:rsidR="00362AA0" w:rsidRDefault="00240FE9" w:rsidP="6E6FBC7F">
      <w:pPr>
        <w:pStyle w:val="BC"/>
      </w:pPr>
      <w:r w:rsidRPr="6E6FBC7F">
        <w:rPr>
          <w:b/>
          <w:bCs/>
        </w:rPr>
        <w:t>Financial Management –</w:t>
      </w:r>
      <w:r>
        <w:t xml:space="preserve"> Understand and apply basic financial processes to achieve value for money and minimise financial risk.</w:t>
      </w:r>
    </w:p>
    <w:p w14:paraId="0C0C9C8B" w14:textId="77777777" w:rsidR="00EB2188" w:rsidRDefault="00EB2188" w:rsidP="00240FE9">
      <w:pPr>
        <w:pStyle w:val="Heading1"/>
      </w:pPr>
    </w:p>
    <w:p w14:paraId="74A76264" w14:textId="058CF7D7" w:rsidR="006A39A4" w:rsidRPr="00D8713D" w:rsidRDefault="0028012F" w:rsidP="00240FE9">
      <w:pPr>
        <w:pStyle w:val="Heading1"/>
      </w:pPr>
      <w:r>
        <w:t>Values and Culture fit</w:t>
      </w:r>
      <w:r w:rsidR="006A39A4" w:rsidRPr="00D8713D">
        <w:t xml:space="preserve"> </w:t>
      </w:r>
    </w:p>
    <w:p w14:paraId="48512B36" w14:textId="77777777" w:rsidR="000B6417" w:rsidRDefault="000B6417">
      <w:pPr>
        <w:pStyle w:val="Bullet"/>
        <w:sectPr w:rsidR="000B6417" w:rsidSect="00CC36B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294" w:right="1016" w:bottom="1418" w:left="1134" w:header="709" w:footer="678" w:gutter="0"/>
          <w:cols w:space="708"/>
          <w:titlePg/>
          <w:docGrid w:linePitch="360"/>
        </w:sectPr>
      </w:pPr>
    </w:p>
    <w:p w14:paraId="3843A0AA" w14:textId="52EB2519" w:rsidR="006A39A4" w:rsidRDefault="0028012F" w:rsidP="00124F1A">
      <w:pPr>
        <w:pStyle w:val="TableBullet"/>
      </w:pPr>
      <w:r>
        <w:t>Passionate about preventing and ending youth homelessness and making a tangible difference</w:t>
      </w:r>
    </w:p>
    <w:p w14:paraId="3695F5F6" w14:textId="6CF89E81" w:rsidR="0028012F" w:rsidRDefault="0028012F" w:rsidP="00124F1A">
      <w:pPr>
        <w:pStyle w:val="TableBullet"/>
      </w:pPr>
      <w:r>
        <w:t>Collaborative team player who will thrive in small, hands-on organisation</w:t>
      </w:r>
    </w:p>
    <w:p w14:paraId="40156F32" w14:textId="3AE48780" w:rsidR="0028012F" w:rsidRDefault="0028012F" w:rsidP="00124F1A">
      <w:pPr>
        <w:pStyle w:val="TableBullet"/>
      </w:pPr>
      <w:r>
        <w:t>Adaptable, innovative and comfortable managing multiple priorities</w:t>
      </w:r>
    </w:p>
    <w:p w14:paraId="668CB0B0" w14:textId="2DAB5262" w:rsidR="0028012F" w:rsidRPr="00D8713D" w:rsidRDefault="0028012F" w:rsidP="00124F1A">
      <w:pPr>
        <w:pStyle w:val="TableBullet"/>
      </w:pPr>
      <w:r>
        <w:t>A positive can-do attitude</w:t>
      </w:r>
    </w:p>
    <w:p w14:paraId="2378354D" w14:textId="77777777" w:rsidR="00096CE9" w:rsidRDefault="00096CE9" w:rsidP="00124F1A">
      <w:pPr>
        <w:pStyle w:val="Heading1"/>
      </w:pPr>
    </w:p>
    <w:p w14:paraId="33195BB7" w14:textId="73DA944D" w:rsidR="00124F1A" w:rsidRPr="00B46FD5" w:rsidRDefault="00124F1A" w:rsidP="00124F1A">
      <w:pPr>
        <w:pStyle w:val="Heading1"/>
      </w:pPr>
      <w:r>
        <w:t>Child Safety Standards - Commitment</w:t>
      </w:r>
    </w:p>
    <w:p w14:paraId="6EE0437C" w14:textId="77777777" w:rsidR="00124F1A" w:rsidRDefault="00124F1A" w:rsidP="00124F1A">
      <w:pPr>
        <w:pStyle w:val="BC"/>
      </w:pPr>
      <w:r w:rsidRPr="00547222">
        <w:t>We are committed to the safety, participation and empowerment of all children.</w:t>
      </w:r>
      <w:r>
        <w:t xml:space="preserve"> </w:t>
      </w:r>
      <w:r w:rsidRPr="00547222">
        <w:t xml:space="preserve"> As part of your role, you may be working with children and people who are vulnerable. </w:t>
      </w:r>
      <w:r>
        <w:t xml:space="preserve"> </w:t>
      </w:r>
      <w:r w:rsidRPr="00547222">
        <w:t>It is your obligation to always ensure their safety and report any concerns you</w:t>
      </w:r>
      <w:r>
        <w:t xml:space="preserve"> may</w:t>
      </w:r>
      <w:r w:rsidRPr="00547222">
        <w:t xml:space="preserve"> have, in line with our Child Safe Policy and Child Safe Code of Conduct.</w:t>
      </w:r>
      <w:r>
        <w:t xml:space="preserve">  </w:t>
      </w:r>
    </w:p>
    <w:p w14:paraId="2C89DB3E" w14:textId="77777777" w:rsidR="00124F1A" w:rsidRDefault="00124F1A" w:rsidP="00124F1A">
      <w:pPr>
        <w:pStyle w:val="BC"/>
      </w:pPr>
      <w:r>
        <w:t>Y</w:t>
      </w:r>
      <w:r w:rsidRPr="007B0454">
        <w:t>ou will be required to provide a Working with Children check prior to commencement and maintain this check for the duration of your employment with Kids Under Cover.</w:t>
      </w:r>
    </w:p>
    <w:p w14:paraId="425CF630" w14:textId="58CBCB70" w:rsidR="00124F1A" w:rsidRDefault="00124F1A">
      <w:pPr>
        <w:tabs>
          <w:tab w:val="clear" w:pos="4513"/>
          <w:tab w:val="clear" w:pos="9026"/>
        </w:tabs>
        <w:jc w:val="left"/>
        <w:rPr>
          <w:rFonts w:eastAsiaTheme="majorEastAsia" w:cstheme="majorBidi"/>
          <w:b/>
          <w:color w:val="7AB800" w:themeColor="accent6"/>
          <w:sz w:val="20"/>
          <w:szCs w:val="18"/>
        </w:rPr>
      </w:pPr>
    </w:p>
    <w:sectPr w:rsidR="00124F1A" w:rsidSect="00F47D46">
      <w:type w:val="continuous"/>
      <w:pgSz w:w="11906" w:h="16838"/>
      <w:pgMar w:top="1294" w:right="1134" w:bottom="1418" w:left="1134" w:header="709" w:footer="6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A1C7" w14:textId="77777777" w:rsidR="002E7700" w:rsidRDefault="002E7700" w:rsidP="006A39A4">
      <w:r>
        <w:separator/>
      </w:r>
    </w:p>
  </w:endnote>
  <w:endnote w:type="continuationSeparator" w:id="0">
    <w:p w14:paraId="1389642E" w14:textId="77777777" w:rsidR="002E7700" w:rsidRDefault="002E7700" w:rsidP="006A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85EE" w14:textId="46785CFA" w:rsidR="00486664" w:rsidRPr="00486664" w:rsidRDefault="00486664" w:rsidP="00486664">
    <w:pPr>
      <w:pStyle w:val="Footer"/>
      <w:pBdr>
        <w:top w:val="single" w:sz="4" w:space="1" w:color="7AB800" w:themeColor="accent6"/>
      </w:pBdr>
      <w:jc w:val="right"/>
      <w:rPr>
        <w:sz w:val="16"/>
        <w:szCs w:val="16"/>
      </w:rPr>
    </w:pPr>
    <w:r w:rsidRPr="006A39A4">
      <w:rPr>
        <w:sz w:val="16"/>
        <w:szCs w:val="16"/>
      </w:rPr>
      <w:t xml:space="preserve">Page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PAGE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 w:rsidRPr="006A39A4">
      <w:rPr>
        <w:sz w:val="16"/>
        <w:szCs w:val="16"/>
      </w:rPr>
      <w:t xml:space="preserve"> of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NUMPAGES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9C33" w14:textId="727CF73E" w:rsidR="00486664" w:rsidRPr="00486664" w:rsidRDefault="00486664" w:rsidP="00486664">
    <w:pPr>
      <w:pStyle w:val="Footer"/>
      <w:pBdr>
        <w:top w:val="single" w:sz="4" w:space="1" w:color="7AB800" w:themeColor="accent6"/>
      </w:pBdr>
      <w:jc w:val="right"/>
      <w:rPr>
        <w:sz w:val="16"/>
        <w:szCs w:val="16"/>
      </w:rPr>
    </w:pPr>
    <w:r w:rsidRPr="006A39A4">
      <w:rPr>
        <w:sz w:val="16"/>
        <w:szCs w:val="16"/>
      </w:rPr>
      <w:t xml:space="preserve">Page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PAGE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1</w:t>
    </w:r>
    <w:r w:rsidRPr="006A39A4">
      <w:rPr>
        <w:b/>
        <w:bCs/>
        <w:sz w:val="16"/>
        <w:szCs w:val="16"/>
      </w:rPr>
      <w:fldChar w:fldCharType="end"/>
    </w:r>
    <w:r w:rsidRPr="006A39A4">
      <w:rPr>
        <w:sz w:val="16"/>
        <w:szCs w:val="16"/>
      </w:rPr>
      <w:t xml:space="preserve"> of </w:t>
    </w:r>
    <w:r w:rsidRPr="006A39A4">
      <w:rPr>
        <w:b/>
        <w:bCs/>
        <w:sz w:val="16"/>
        <w:szCs w:val="16"/>
      </w:rPr>
      <w:fldChar w:fldCharType="begin"/>
    </w:r>
    <w:r w:rsidRPr="006A39A4">
      <w:rPr>
        <w:b/>
        <w:bCs/>
        <w:sz w:val="16"/>
        <w:szCs w:val="16"/>
      </w:rPr>
      <w:instrText xml:space="preserve"> NUMPAGES  \* Arabic  \* MERGEFORMAT </w:instrText>
    </w:r>
    <w:r w:rsidRPr="006A39A4">
      <w:rPr>
        <w:b/>
        <w:bCs/>
        <w:sz w:val="16"/>
        <w:szCs w:val="16"/>
      </w:rPr>
      <w:fldChar w:fldCharType="separate"/>
    </w:r>
    <w:r w:rsidR="00AE1025">
      <w:rPr>
        <w:b/>
        <w:bCs/>
        <w:noProof/>
        <w:sz w:val="16"/>
        <w:szCs w:val="16"/>
      </w:rPr>
      <w:t>4</w:t>
    </w:r>
    <w:r w:rsidRPr="006A39A4"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br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  <w:r w:rsidR="0068408B" w:rsidRPr="0048666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A31C" w14:textId="77777777" w:rsidR="002E7700" w:rsidRDefault="002E7700" w:rsidP="006A39A4">
      <w:r>
        <w:separator/>
      </w:r>
    </w:p>
  </w:footnote>
  <w:footnote w:type="continuationSeparator" w:id="0">
    <w:p w14:paraId="70BA6E03" w14:textId="77777777" w:rsidR="002E7700" w:rsidRDefault="002E7700" w:rsidP="006A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42B0" w14:textId="6B198346" w:rsidR="009034F3" w:rsidRDefault="00000000">
    <w:pPr>
      <w:pStyle w:val="Header"/>
    </w:pPr>
    <w:r>
      <w:rPr>
        <w:noProof/>
      </w:rPr>
      <w:pict w14:anchorId="4A138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3146110" o:spid="_x0000_s1026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E980" w14:textId="17E18B94" w:rsidR="006A39A4" w:rsidRPr="006A39A4" w:rsidRDefault="00DF4ACE" w:rsidP="00DF4ACE">
    <w:pPr>
      <w:pStyle w:val="Header"/>
      <w:pBdr>
        <w:bottom w:val="single" w:sz="4" w:space="1" w:color="7AB800" w:themeColor="accent6"/>
      </w:pBdr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             </w:t>
    </w:r>
    <w:r w:rsidR="6E6FBC7F" w:rsidRPr="6E6FBC7F">
      <w:rPr>
        <w:b/>
        <w:bCs/>
        <w:sz w:val="16"/>
        <w:szCs w:val="16"/>
      </w:rPr>
      <w:t>Position Description – Youth Housing</w:t>
    </w:r>
    <w:r>
      <w:rPr>
        <w:b/>
        <w:bCs/>
        <w:sz w:val="16"/>
        <w:szCs w:val="16"/>
      </w:rPr>
      <w:t xml:space="preserve"> &amp; Asset</w:t>
    </w:r>
    <w:r w:rsidR="6E6FBC7F" w:rsidRPr="6E6FBC7F">
      <w:rPr>
        <w:b/>
        <w:bCs/>
        <w:sz w:val="16"/>
        <w:szCs w:val="16"/>
      </w:rPr>
      <w:t xml:space="preserve"> Manager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9529" w14:textId="0D09B362" w:rsidR="00CC36B2" w:rsidRDefault="00CC36B2" w:rsidP="00EB703E">
    <w:r w:rsidRPr="006A39A4">
      <w:rPr>
        <w:noProof/>
      </w:rPr>
      <w:drawing>
        <wp:anchor distT="0" distB="0" distL="114300" distR="114300" simplePos="0" relativeHeight="251657216" behindDoc="1" locked="0" layoutInCell="1" allowOverlap="1" wp14:anchorId="16806CFD" wp14:editId="57E1E3CD">
          <wp:simplePos x="0" y="0"/>
          <wp:positionH relativeFrom="column">
            <wp:posOffset>5448300</wp:posOffset>
          </wp:positionH>
          <wp:positionV relativeFrom="paragraph">
            <wp:posOffset>-102235</wp:posOffset>
          </wp:positionV>
          <wp:extent cx="668020" cy="1079500"/>
          <wp:effectExtent l="0" t="0" r="0" b="6350"/>
          <wp:wrapThrough wrapText="bothSides">
            <wp:wrapPolygon edited="0">
              <wp:start x="0" y="0"/>
              <wp:lineTo x="0" y="21346"/>
              <wp:lineTo x="20943" y="21346"/>
              <wp:lineTo x="20943" y="0"/>
              <wp:lineTo x="0" y="0"/>
            </wp:wrapPolygon>
          </wp:wrapThrough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C_Logo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21D1D" w14:textId="77777777" w:rsidR="00CC36B2" w:rsidRPr="00CC36B2" w:rsidRDefault="00CC36B2" w:rsidP="00CC36B2"/>
  <w:p w14:paraId="6A63A57E" w14:textId="77777777" w:rsidR="00486664" w:rsidRPr="0037346C" w:rsidRDefault="00486664" w:rsidP="00EB703E">
    <w:pPr>
      <w:pStyle w:val="Title"/>
      <w:rPr>
        <w:rFonts w:ascii="Arial Black" w:hAnsi="Arial Black"/>
      </w:rPr>
    </w:pPr>
    <w:r w:rsidRPr="0037346C">
      <w:rPr>
        <w:rFonts w:ascii="Arial Black" w:hAnsi="Arial Black"/>
      </w:rPr>
      <w:t>POSITION DESCRIPTION</w:t>
    </w:r>
  </w:p>
  <w:p w14:paraId="0BD0C950" w14:textId="1A9B908B" w:rsidR="00486664" w:rsidRPr="00EF42D1" w:rsidRDefault="004B11F3" w:rsidP="00EB703E">
    <w:pPr>
      <w:pStyle w:val="Title2"/>
    </w:pPr>
    <w:r>
      <w:t xml:space="preserve">Youth </w:t>
    </w:r>
    <w:r w:rsidR="00A150CC">
      <w:t xml:space="preserve">Housing </w:t>
    </w:r>
    <w:r w:rsidR="00DF4ACE">
      <w:t xml:space="preserve">&amp; Asset </w:t>
    </w:r>
    <w:r w:rsidR="00A150CC">
      <w:t>Manager</w:t>
    </w:r>
  </w:p>
  <w:p w14:paraId="63C7C32C" w14:textId="77777777" w:rsidR="00CC36B2" w:rsidRDefault="00CC36B2" w:rsidP="00EB703E">
    <w:pPr>
      <w:pStyle w:val="Title2"/>
    </w:pPr>
  </w:p>
  <w:p w14:paraId="01976945" w14:textId="77777777" w:rsidR="00CC36B2" w:rsidRPr="006A39A4" w:rsidRDefault="00CC36B2" w:rsidP="00EB703E">
    <w:pPr>
      <w:pStyle w:val="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E96"/>
    <w:multiLevelType w:val="multilevel"/>
    <w:tmpl w:val="33CC8F3C"/>
    <w:lvl w:ilvl="0">
      <w:start w:val="1"/>
      <w:numFmt w:val="decimal"/>
      <w:pStyle w:val="Bullet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882B4A"/>
    <w:multiLevelType w:val="hybridMultilevel"/>
    <w:tmpl w:val="42345624"/>
    <w:lvl w:ilvl="0" w:tplc="071C1AF4">
      <w:start w:val="1"/>
      <w:numFmt w:val="decimal"/>
      <w:pStyle w:val="TableTextNo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5C921AFC"/>
    <w:multiLevelType w:val="hybridMultilevel"/>
    <w:tmpl w:val="D548B3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671076"/>
    <w:multiLevelType w:val="hybridMultilevel"/>
    <w:tmpl w:val="58B2F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B458E"/>
    <w:multiLevelType w:val="hybridMultilevel"/>
    <w:tmpl w:val="B49A2FCA"/>
    <w:lvl w:ilvl="0" w:tplc="B9242872">
      <w:start w:val="1"/>
      <w:numFmt w:val="bullet"/>
      <w:pStyle w:val="Bullet"/>
      <w:lvlText w:val=""/>
      <w:lvlJc w:val="left"/>
      <w:pPr>
        <w:ind w:left="1077" w:hanging="360"/>
      </w:pPr>
      <w:rPr>
        <w:rFonts w:ascii="Symbol" w:hAnsi="Symbol" w:hint="default"/>
        <w:sz w:val="16"/>
      </w:rPr>
    </w:lvl>
    <w:lvl w:ilvl="1" w:tplc="C2C80790">
      <w:start w:val="1"/>
      <w:numFmt w:val="bullet"/>
      <w:pStyle w:val="Bullet2"/>
      <w:lvlText w:val="-"/>
      <w:lvlJc w:val="left"/>
      <w:pPr>
        <w:ind w:left="1797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47401926">
    <w:abstractNumId w:val="5"/>
  </w:num>
  <w:num w:numId="2" w16cid:durableId="196239520">
    <w:abstractNumId w:val="1"/>
  </w:num>
  <w:num w:numId="3" w16cid:durableId="400636924">
    <w:abstractNumId w:val="0"/>
  </w:num>
  <w:num w:numId="4" w16cid:durableId="458376869">
    <w:abstractNumId w:val="2"/>
  </w:num>
  <w:num w:numId="5" w16cid:durableId="722407560">
    <w:abstractNumId w:val="4"/>
  </w:num>
  <w:num w:numId="6" w16cid:durableId="728455786">
    <w:abstractNumId w:val="3"/>
  </w:num>
  <w:num w:numId="7" w16cid:durableId="2096436268">
    <w:abstractNumId w:val="5"/>
  </w:num>
  <w:num w:numId="8" w16cid:durableId="1317682901">
    <w:abstractNumId w:val="5"/>
  </w:num>
  <w:num w:numId="9" w16cid:durableId="1243564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A4"/>
    <w:rsid w:val="00005F20"/>
    <w:rsid w:val="00007B4E"/>
    <w:rsid w:val="000100FF"/>
    <w:rsid w:val="000176A8"/>
    <w:rsid w:val="00031AEB"/>
    <w:rsid w:val="00036464"/>
    <w:rsid w:val="00044A87"/>
    <w:rsid w:val="00052CE2"/>
    <w:rsid w:val="0005578C"/>
    <w:rsid w:val="00056CA4"/>
    <w:rsid w:val="000601EC"/>
    <w:rsid w:val="00060D41"/>
    <w:rsid w:val="000651C5"/>
    <w:rsid w:val="000659F3"/>
    <w:rsid w:val="00065B11"/>
    <w:rsid w:val="00074505"/>
    <w:rsid w:val="00080B7F"/>
    <w:rsid w:val="0008329F"/>
    <w:rsid w:val="00091DCA"/>
    <w:rsid w:val="00096CE9"/>
    <w:rsid w:val="000A0455"/>
    <w:rsid w:val="000A25A4"/>
    <w:rsid w:val="000B1E38"/>
    <w:rsid w:val="000B1FE7"/>
    <w:rsid w:val="000B6417"/>
    <w:rsid w:val="000B67CD"/>
    <w:rsid w:val="000C69CE"/>
    <w:rsid w:val="000C792E"/>
    <w:rsid w:val="000D11AE"/>
    <w:rsid w:val="000D1DCC"/>
    <w:rsid w:val="000D4958"/>
    <w:rsid w:val="000D6FDE"/>
    <w:rsid w:val="000E33EA"/>
    <w:rsid w:val="000F103D"/>
    <w:rsid w:val="000F2858"/>
    <w:rsid w:val="000F313A"/>
    <w:rsid w:val="000F3981"/>
    <w:rsid w:val="0012066A"/>
    <w:rsid w:val="001249F7"/>
    <w:rsid w:val="00124C2E"/>
    <w:rsid w:val="00124F1A"/>
    <w:rsid w:val="00136F41"/>
    <w:rsid w:val="00142AFF"/>
    <w:rsid w:val="001443FF"/>
    <w:rsid w:val="00151DA8"/>
    <w:rsid w:val="00160482"/>
    <w:rsid w:val="00163D8B"/>
    <w:rsid w:val="001651A6"/>
    <w:rsid w:val="00170917"/>
    <w:rsid w:val="0018226C"/>
    <w:rsid w:val="00183DD1"/>
    <w:rsid w:val="00187741"/>
    <w:rsid w:val="00187CA7"/>
    <w:rsid w:val="0019000F"/>
    <w:rsid w:val="0019243F"/>
    <w:rsid w:val="00193AFA"/>
    <w:rsid w:val="00196188"/>
    <w:rsid w:val="001A6EE6"/>
    <w:rsid w:val="001B51E6"/>
    <w:rsid w:val="001B5A96"/>
    <w:rsid w:val="001B6F0E"/>
    <w:rsid w:val="001E42B2"/>
    <w:rsid w:val="001E4ACC"/>
    <w:rsid w:val="001E7FF8"/>
    <w:rsid w:val="00204CA0"/>
    <w:rsid w:val="002062D2"/>
    <w:rsid w:val="0021225D"/>
    <w:rsid w:val="0021682C"/>
    <w:rsid w:val="00216D55"/>
    <w:rsid w:val="00217970"/>
    <w:rsid w:val="00222E6E"/>
    <w:rsid w:val="002258CD"/>
    <w:rsid w:val="00230010"/>
    <w:rsid w:val="00234EB1"/>
    <w:rsid w:val="00240FE9"/>
    <w:rsid w:val="00252239"/>
    <w:rsid w:val="00252962"/>
    <w:rsid w:val="002570FC"/>
    <w:rsid w:val="00257F28"/>
    <w:rsid w:val="002602E6"/>
    <w:rsid w:val="002711AA"/>
    <w:rsid w:val="002715DB"/>
    <w:rsid w:val="002721D6"/>
    <w:rsid w:val="00273D13"/>
    <w:rsid w:val="00277E8A"/>
    <w:rsid w:val="0028012F"/>
    <w:rsid w:val="00287DA6"/>
    <w:rsid w:val="002A03EC"/>
    <w:rsid w:val="002A4FD5"/>
    <w:rsid w:val="002A689E"/>
    <w:rsid w:val="002A6BF0"/>
    <w:rsid w:val="002B442D"/>
    <w:rsid w:val="002B69A1"/>
    <w:rsid w:val="002D18A8"/>
    <w:rsid w:val="002D337D"/>
    <w:rsid w:val="002D7660"/>
    <w:rsid w:val="002E7700"/>
    <w:rsid w:val="002F5E12"/>
    <w:rsid w:val="002F5EA0"/>
    <w:rsid w:val="002F616B"/>
    <w:rsid w:val="002F6BE1"/>
    <w:rsid w:val="003051D5"/>
    <w:rsid w:val="00313F2F"/>
    <w:rsid w:val="00317642"/>
    <w:rsid w:val="00320059"/>
    <w:rsid w:val="00321BA3"/>
    <w:rsid w:val="00323894"/>
    <w:rsid w:val="003252CA"/>
    <w:rsid w:val="00346B7F"/>
    <w:rsid w:val="003474D2"/>
    <w:rsid w:val="00351D75"/>
    <w:rsid w:val="003619D3"/>
    <w:rsid w:val="00362AA0"/>
    <w:rsid w:val="00363827"/>
    <w:rsid w:val="00363BD0"/>
    <w:rsid w:val="00363C77"/>
    <w:rsid w:val="003648EF"/>
    <w:rsid w:val="00364E32"/>
    <w:rsid w:val="00366A4F"/>
    <w:rsid w:val="0037346C"/>
    <w:rsid w:val="00375C57"/>
    <w:rsid w:val="0039163C"/>
    <w:rsid w:val="00397AE4"/>
    <w:rsid w:val="003B3824"/>
    <w:rsid w:val="003C10D6"/>
    <w:rsid w:val="003C5D2E"/>
    <w:rsid w:val="003E39BF"/>
    <w:rsid w:val="003F3993"/>
    <w:rsid w:val="003F6E59"/>
    <w:rsid w:val="00404D32"/>
    <w:rsid w:val="004117FE"/>
    <w:rsid w:val="0042471E"/>
    <w:rsid w:val="00424E2C"/>
    <w:rsid w:val="004257D0"/>
    <w:rsid w:val="00430C19"/>
    <w:rsid w:val="00433655"/>
    <w:rsid w:val="00463465"/>
    <w:rsid w:val="00465A85"/>
    <w:rsid w:val="0047090D"/>
    <w:rsid w:val="004816AD"/>
    <w:rsid w:val="00485C62"/>
    <w:rsid w:val="00486499"/>
    <w:rsid w:val="00486664"/>
    <w:rsid w:val="00493DEC"/>
    <w:rsid w:val="004A29EC"/>
    <w:rsid w:val="004A49D3"/>
    <w:rsid w:val="004A69D5"/>
    <w:rsid w:val="004B0F48"/>
    <w:rsid w:val="004B11F3"/>
    <w:rsid w:val="004B135C"/>
    <w:rsid w:val="004C11BF"/>
    <w:rsid w:val="004C2C3A"/>
    <w:rsid w:val="004E4A0E"/>
    <w:rsid w:val="004F66B6"/>
    <w:rsid w:val="005006C6"/>
    <w:rsid w:val="00502227"/>
    <w:rsid w:val="00503E93"/>
    <w:rsid w:val="00517302"/>
    <w:rsid w:val="005212F0"/>
    <w:rsid w:val="0053564D"/>
    <w:rsid w:val="00541E50"/>
    <w:rsid w:val="00543E65"/>
    <w:rsid w:val="005516AA"/>
    <w:rsid w:val="00560523"/>
    <w:rsid w:val="0056458D"/>
    <w:rsid w:val="00566472"/>
    <w:rsid w:val="00567530"/>
    <w:rsid w:val="00580E9E"/>
    <w:rsid w:val="00587771"/>
    <w:rsid w:val="005A5F8D"/>
    <w:rsid w:val="005A6200"/>
    <w:rsid w:val="005C5267"/>
    <w:rsid w:val="005C6C5F"/>
    <w:rsid w:val="005C7F21"/>
    <w:rsid w:val="005D0B8F"/>
    <w:rsid w:val="005E082F"/>
    <w:rsid w:val="005E49B7"/>
    <w:rsid w:val="005E71CA"/>
    <w:rsid w:val="005F205F"/>
    <w:rsid w:val="0060109C"/>
    <w:rsid w:val="00601C88"/>
    <w:rsid w:val="00601EB7"/>
    <w:rsid w:val="00603A69"/>
    <w:rsid w:val="006055DE"/>
    <w:rsid w:val="006108FB"/>
    <w:rsid w:val="0061547F"/>
    <w:rsid w:val="00621CC7"/>
    <w:rsid w:val="006311B0"/>
    <w:rsid w:val="00631382"/>
    <w:rsid w:val="00633364"/>
    <w:rsid w:val="0063626B"/>
    <w:rsid w:val="00640927"/>
    <w:rsid w:val="006456EE"/>
    <w:rsid w:val="00646F39"/>
    <w:rsid w:val="006559A6"/>
    <w:rsid w:val="00664175"/>
    <w:rsid w:val="0067234A"/>
    <w:rsid w:val="0067437F"/>
    <w:rsid w:val="006778F5"/>
    <w:rsid w:val="006830E0"/>
    <w:rsid w:val="00683EC0"/>
    <w:rsid w:val="0068408B"/>
    <w:rsid w:val="00687BB6"/>
    <w:rsid w:val="00690F10"/>
    <w:rsid w:val="006919AA"/>
    <w:rsid w:val="00696874"/>
    <w:rsid w:val="006A1B12"/>
    <w:rsid w:val="006A39A4"/>
    <w:rsid w:val="006B4A19"/>
    <w:rsid w:val="006C0FF6"/>
    <w:rsid w:val="006C435A"/>
    <w:rsid w:val="006C4D62"/>
    <w:rsid w:val="006C647F"/>
    <w:rsid w:val="006D146A"/>
    <w:rsid w:val="006E3BCA"/>
    <w:rsid w:val="006E7546"/>
    <w:rsid w:val="006F2CCA"/>
    <w:rsid w:val="006F2F77"/>
    <w:rsid w:val="006F3C47"/>
    <w:rsid w:val="00712D25"/>
    <w:rsid w:val="007138ED"/>
    <w:rsid w:val="0071559D"/>
    <w:rsid w:val="00717DC3"/>
    <w:rsid w:val="00735CAB"/>
    <w:rsid w:val="007427CC"/>
    <w:rsid w:val="00754CE2"/>
    <w:rsid w:val="00764274"/>
    <w:rsid w:val="007775CC"/>
    <w:rsid w:val="00780011"/>
    <w:rsid w:val="00780E2E"/>
    <w:rsid w:val="00782E05"/>
    <w:rsid w:val="00783C86"/>
    <w:rsid w:val="00785E56"/>
    <w:rsid w:val="007907CB"/>
    <w:rsid w:val="00791464"/>
    <w:rsid w:val="00795DFC"/>
    <w:rsid w:val="00796B30"/>
    <w:rsid w:val="007B0940"/>
    <w:rsid w:val="007B0BFB"/>
    <w:rsid w:val="007B1DC3"/>
    <w:rsid w:val="007C383A"/>
    <w:rsid w:val="007C5365"/>
    <w:rsid w:val="007D0175"/>
    <w:rsid w:val="007D66A2"/>
    <w:rsid w:val="00806DC2"/>
    <w:rsid w:val="008073E8"/>
    <w:rsid w:val="0080749B"/>
    <w:rsid w:val="008121CC"/>
    <w:rsid w:val="00814232"/>
    <w:rsid w:val="00815AF9"/>
    <w:rsid w:val="00834861"/>
    <w:rsid w:val="00851E0D"/>
    <w:rsid w:val="00851E43"/>
    <w:rsid w:val="008568AA"/>
    <w:rsid w:val="00856BE3"/>
    <w:rsid w:val="00863D23"/>
    <w:rsid w:val="008717B7"/>
    <w:rsid w:val="00871C5A"/>
    <w:rsid w:val="008737C7"/>
    <w:rsid w:val="008750F1"/>
    <w:rsid w:val="00881EF3"/>
    <w:rsid w:val="00886BF3"/>
    <w:rsid w:val="008B52DF"/>
    <w:rsid w:val="008E67BF"/>
    <w:rsid w:val="008E7D02"/>
    <w:rsid w:val="008F4600"/>
    <w:rsid w:val="009034F3"/>
    <w:rsid w:val="00903D4C"/>
    <w:rsid w:val="009056D3"/>
    <w:rsid w:val="009128B4"/>
    <w:rsid w:val="009171A4"/>
    <w:rsid w:val="00917AEC"/>
    <w:rsid w:val="0092145E"/>
    <w:rsid w:val="00925C8A"/>
    <w:rsid w:val="009404A6"/>
    <w:rsid w:val="00940D79"/>
    <w:rsid w:val="009430B2"/>
    <w:rsid w:val="00944540"/>
    <w:rsid w:val="00945D0B"/>
    <w:rsid w:val="00950C0D"/>
    <w:rsid w:val="00957017"/>
    <w:rsid w:val="009575C8"/>
    <w:rsid w:val="00960020"/>
    <w:rsid w:val="00962A09"/>
    <w:rsid w:val="009635D1"/>
    <w:rsid w:val="00966FA2"/>
    <w:rsid w:val="00967511"/>
    <w:rsid w:val="009713F6"/>
    <w:rsid w:val="00971E0A"/>
    <w:rsid w:val="00971EDA"/>
    <w:rsid w:val="00980647"/>
    <w:rsid w:val="0098434B"/>
    <w:rsid w:val="00990958"/>
    <w:rsid w:val="009A34F8"/>
    <w:rsid w:val="009B0789"/>
    <w:rsid w:val="009B2BC8"/>
    <w:rsid w:val="009D07B8"/>
    <w:rsid w:val="009D38B5"/>
    <w:rsid w:val="009D5784"/>
    <w:rsid w:val="009D7F2D"/>
    <w:rsid w:val="009E08F5"/>
    <w:rsid w:val="009E27C1"/>
    <w:rsid w:val="009E3906"/>
    <w:rsid w:val="009E4473"/>
    <w:rsid w:val="009E534F"/>
    <w:rsid w:val="009E7750"/>
    <w:rsid w:val="009F781A"/>
    <w:rsid w:val="00A00254"/>
    <w:rsid w:val="00A11A93"/>
    <w:rsid w:val="00A11EB4"/>
    <w:rsid w:val="00A150CC"/>
    <w:rsid w:val="00A1556F"/>
    <w:rsid w:val="00A156D3"/>
    <w:rsid w:val="00A218EC"/>
    <w:rsid w:val="00A23019"/>
    <w:rsid w:val="00A30096"/>
    <w:rsid w:val="00A37269"/>
    <w:rsid w:val="00A51C0C"/>
    <w:rsid w:val="00A5329A"/>
    <w:rsid w:val="00A552AD"/>
    <w:rsid w:val="00A577D2"/>
    <w:rsid w:val="00A67CBF"/>
    <w:rsid w:val="00A72B08"/>
    <w:rsid w:val="00A75869"/>
    <w:rsid w:val="00A80BA9"/>
    <w:rsid w:val="00A82331"/>
    <w:rsid w:val="00A8737F"/>
    <w:rsid w:val="00A90707"/>
    <w:rsid w:val="00A90F70"/>
    <w:rsid w:val="00A9384C"/>
    <w:rsid w:val="00AA0239"/>
    <w:rsid w:val="00AA1AE9"/>
    <w:rsid w:val="00AA276E"/>
    <w:rsid w:val="00AB0803"/>
    <w:rsid w:val="00AB7324"/>
    <w:rsid w:val="00AC1F11"/>
    <w:rsid w:val="00AC7A07"/>
    <w:rsid w:val="00AD22D0"/>
    <w:rsid w:val="00AD5262"/>
    <w:rsid w:val="00AD559A"/>
    <w:rsid w:val="00AD7A41"/>
    <w:rsid w:val="00AE0886"/>
    <w:rsid w:val="00AE1025"/>
    <w:rsid w:val="00AE6874"/>
    <w:rsid w:val="00AF106A"/>
    <w:rsid w:val="00AF5A26"/>
    <w:rsid w:val="00AF725C"/>
    <w:rsid w:val="00B10E7D"/>
    <w:rsid w:val="00B23134"/>
    <w:rsid w:val="00B23A8A"/>
    <w:rsid w:val="00B27678"/>
    <w:rsid w:val="00B30B81"/>
    <w:rsid w:val="00B37E08"/>
    <w:rsid w:val="00B41641"/>
    <w:rsid w:val="00B43467"/>
    <w:rsid w:val="00B51E59"/>
    <w:rsid w:val="00B6645B"/>
    <w:rsid w:val="00B70D02"/>
    <w:rsid w:val="00B71527"/>
    <w:rsid w:val="00B735E5"/>
    <w:rsid w:val="00B84EBF"/>
    <w:rsid w:val="00B85985"/>
    <w:rsid w:val="00B87CDE"/>
    <w:rsid w:val="00B87D03"/>
    <w:rsid w:val="00BA0A00"/>
    <w:rsid w:val="00BA156D"/>
    <w:rsid w:val="00BA471B"/>
    <w:rsid w:val="00BA4C60"/>
    <w:rsid w:val="00BB4E71"/>
    <w:rsid w:val="00BB539E"/>
    <w:rsid w:val="00BB6800"/>
    <w:rsid w:val="00BC7205"/>
    <w:rsid w:val="00BD0CC0"/>
    <w:rsid w:val="00BD2C4A"/>
    <w:rsid w:val="00BD57AB"/>
    <w:rsid w:val="00BE0EF3"/>
    <w:rsid w:val="00BE4551"/>
    <w:rsid w:val="00BF03FA"/>
    <w:rsid w:val="00C103A6"/>
    <w:rsid w:val="00C137B6"/>
    <w:rsid w:val="00C14C00"/>
    <w:rsid w:val="00C27467"/>
    <w:rsid w:val="00C319B6"/>
    <w:rsid w:val="00C3616C"/>
    <w:rsid w:val="00C40FE3"/>
    <w:rsid w:val="00C52FD1"/>
    <w:rsid w:val="00C54A00"/>
    <w:rsid w:val="00C7101F"/>
    <w:rsid w:val="00C72B54"/>
    <w:rsid w:val="00C74AC1"/>
    <w:rsid w:val="00C84068"/>
    <w:rsid w:val="00CA3EF9"/>
    <w:rsid w:val="00CC36B2"/>
    <w:rsid w:val="00CD6E4A"/>
    <w:rsid w:val="00CE0E1A"/>
    <w:rsid w:val="00CF21C6"/>
    <w:rsid w:val="00CF5CDD"/>
    <w:rsid w:val="00D00AC5"/>
    <w:rsid w:val="00D017BD"/>
    <w:rsid w:val="00D03084"/>
    <w:rsid w:val="00D03B62"/>
    <w:rsid w:val="00D07DF5"/>
    <w:rsid w:val="00D10EC0"/>
    <w:rsid w:val="00D260C9"/>
    <w:rsid w:val="00D3579C"/>
    <w:rsid w:val="00D36A5E"/>
    <w:rsid w:val="00D41102"/>
    <w:rsid w:val="00D4429B"/>
    <w:rsid w:val="00D4748B"/>
    <w:rsid w:val="00D53342"/>
    <w:rsid w:val="00D56B81"/>
    <w:rsid w:val="00D574F5"/>
    <w:rsid w:val="00D6270E"/>
    <w:rsid w:val="00D71EDE"/>
    <w:rsid w:val="00D73FD5"/>
    <w:rsid w:val="00D74867"/>
    <w:rsid w:val="00D87675"/>
    <w:rsid w:val="00D91F96"/>
    <w:rsid w:val="00D9221A"/>
    <w:rsid w:val="00D93E28"/>
    <w:rsid w:val="00DA04BA"/>
    <w:rsid w:val="00DA093F"/>
    <w:rsid w:val="00DB05ED"/>
    <w:rsid w:val="00DB0A20"/>
    <w:rsid w:val="00DB4750"/>
    <w:rsid w:val="00DB605C"/>
    <w:rsid w:val="00DC574A"/>
    <w:rsid w:val="00DD4648"/>
    <w:rsid w:val="00DD6909"/>
    <w:rsid w:val="00DE45FF"/>
    <w:rsid w:val="00DF1CA9"/>
    <w:rsid w:val="00DF49FC"/>
    <w:rsid w:val="00DF4ACE"/>
    <w:rsid w:val="00E111FD"/>
    <w:rsid w:val="00E136C0"/>
    <w:rsid w:val="00E1603B"/>
    <w:rsid w:val="00E174B9"/>
    <w:rsid w:val="00E23B8B"/>
    <w:rsid w:val="00E2B674"/>
    <w:rsid w:val="00E33C97"/>
    <w:rsid w:val="00E37DD8"/>
    <w:rsid w:val="00E45461"/>
    <w:rsid w:val="00E45540"/>
    <w:rsid w:val="00E57EF9"/>
    <w:rsid w:val="00E67D93"/>
    <w:rsid w:val="00E74195"/>
    <w:rsid w:val="00E776B4"/>
    <w:rsid w:val="00E83E37"/>
    <w:rsid w:val="00E86CE0"/>
    <w:rsid w:val="00E96324"/>
    <w:rsid w:val="00E97ED6"/>
    <w:rsid w:val="00EA11DB"/>
    <w:rsid w:val="00EA3D94"/>
    <w:rsid w:val="00EA7FE7"/>
    <w:rsid w:val="00EB2188"/>
    <w:rsid w:val="00EB703E"/>
    <w:rsid w:val="00EB72B0"/>
    <w:rsid w:val="00EC76E0"/>
    <w:rsid w:val="00EE693B"/>
    <w:rsid w:val="00EF2655"/>
    <w:rsid w:val="00EF42D1"/>
    <w:rsid w:val="00EF7B23"/>
    <w:rsid w:val="00F05865"/>
    <w:rsid w:val="00F05B34"/>
    <w:rsid w:val="00F0636F"/>
    <w:rsid w:val="00F0647E"/>
    <w:rsid w:val="00F11F89"/>
    <w:rsid w:val="00F13A8B"/>
    <w:rsid w:val="00F228E6"/>
    <w:rsid w:val="00F32FF8"/>
    <w:rsid w:val="00F37650"/>
    <w:rsid w:val="00F44E44"/>
    <w:rsid w:val="00F5147C"/>
    <w:rsid w:val="00F547E0"/>
    <w:rsid w:val="00F653B6"/>
    <w:rsid w:val="00F71252"/>
    <w:rsid w:val="00F72F39"/>
    <w:rsid w:val="00F7366F"/>
    <w:rsid w:val="00F744D9"/>
    <w:rsid w:val="00F80A68"/>
    <w:rsid w:val="00F90D0E"/>
    <w:rsid w:val="00F95BF3"/>
    <w:rsid w:val="00F96881"/>
    <w:rsid w:val="00FA0DA8"/>
    <w:rsid w:val="00FA14FB"/>
    <w:rsid w:val="00FA5429"/>
    <w:rsid w:val="00FB0383"/>
    <w:rsid w:val="00FB2712"/>
    <w:rsid w:val="00FB3A97"/>
    <w:rsid w:val="00FB600D"/>
    <w:rsid w:val="00FC40FD"/>
    <w:rsid w:val="00FC426C"/>
    <w:rsid w:val="00FF211E"/>
    <w:rsid w:val="00FF3D48"/>
    <w:rsid w:val="0525026C"/>
    <w:rsid w:val="159F9B97"/>
    <w:rsid w:val="2F570CDF"/>
    <w:rsid w:val="32DB61AD"/>
    <w:rsid w:val="3DF4238F"/>
    <w:rsid w:val="49C398E5"/>
    <w:rsid w:val="5C48D6FD"/>
    <w:rsid w:val="628E387E"/>
    <w:rsid w:val="6915C7B0"/>
    <w:rsid w:val="69602E5F"/>
    <w:rsid w:val="6E6F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D169"/>
  <w15:chartTrackingRefBased/>
  <w15:docId w15:val="{EC13DD75-F547-4ABF-8147-59E62A5C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B5"/>
    <w:pPr>
      <w:tabs>
        <w:tab w:val="center" w:pos="4513"/>
        <w:tab w:val="right" w:pos="9026"/>
      </w:tabs>
      <w:jc w:val="both"/>
    </w:pPr>
    <w:rPr>
      <w:rFonts w:ascii="Arial" w:hAnsi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E9"/>
    <w:pPr>
      <w:keepNext/>
      <w:keepLines/>
      <w:pBdr>
        <w:bottom w:val="single" w:sz="4" w:space="1" w:color="7AB800" w:themeColor="accent6"/>
      </w:pBdr>
      <w:spacing w:before="240" w:after="240"/>
      <w:outlineLvl w:val="0"/>
    </w:pPr>
    <w:rPr>
      <w:rFonts w:eastAsiaTheme="majorEastAsia" w:cstheme="majorBidi"/>
      <w:b/>
      <w:color w:val="7AB800" w:themeColor="accent6"/>
      <w:sz w:val="20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FE9"/>
    <w:pPr>
      <w:keepNext/>
      <w:keepLines/>
      <w:spacing w:before="240" w:after="120"/>
      <w:outlineLvl w:val="1"/>
    </w:pPr>
    <w:rPr>
      <w:rFonts w:eastAsiaTheme="majorEastAsia" w:cs="Arial"/>
      <w:b/>
      <w:color w:val="E98300" w:themeColor="accent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A39A4"/>
  </w:style>
  <w:style w:type="character" w:customStyle="1" w:styleId="HeaderChar">
    <w:name w:val="Header Char"/>
    <w:basedOn w:val="DefaultParagraphFont"/>
    <w:link w:val="Header"/>
    <w:uiPriority w:val="99"/>
    <w:rsid w:val="006A39A4"/>
  </w:style>
  <w:style w:type="paragraph" w:styleId="Footer">
    <w:name w:val="footer"/>
    <w:basedOn w:val="Normal"/>
    <w:link w:val="FooterChar"/>
    <w:unhideWhenUsed/>
    <w:rsid w:val="006A39A4"/>
  </w:style>
  <w:style w:type="character" w:customStyle="1" w:styleId="FooterChar">
    <w:name w:val="Footer Char"/>
    <w:basedOn w:val="DefaultParagraphFont"/>
    <w:link w:val="Footer"/>
    <w:uiPriority w:val="99"/>
    <w:rsid w:val="006A39A4"/>
  </w:style>
  <w:style w:type="paragraph" w:styleId="NoSpacing">
    <w:name w:val="No Spacing"/>
    <w:uiPriority w:val="1"/>
    <w:qFormat/>
    <w:rsid w:val="006A39A4"/>
    <w:pPr>
      <w:tabs>
        <w:tab w:val="center" w:pos="4513"/>
        <w:tab w:val="right" w:pos="9026"/>
      </w:tabs>
    </w:pPr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240FE9"/>
    <w:rPr>
      <w:rFonts w:ascii="Arial" w:eastAsiaTheme="majorEastAsia" w:hAnsi="Arial" w:cstheme="majorBidi"/>
      <w:b/>
      <w:color w:val="7AB800" w:themeColor="accent6"/>
      <w:sz w:val="20"/>
      <w:szCs w:val="18"/>
    </w:rPr>
  </w:style>
  <w:style w:type="paragraph" w:styleId="Title">
    <w:name w:val="Title"/>
    <w:basedOn w:val="Normal"/>
    <w:next w:val="Normal"/>
    <w:link w:val="TitleChar"/>
    <w:qFormat/>
    <w:rsid w:val="00EB703E"/>
    <w:rPr>
      <w:b/>
      <w:color w:val="E98300" w:themeColor="accent3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B703E"/>
    <w:rPr>
      <w:rFonts w:ascii="Arial" w:hAnsi="Arial"/>
      <w:b/>
      <w:color w:val="E98300" w:themeColor="accent3"/>
      <w:sz w:val="36"/>
      <w:szCs w:val="36"/>
    </w:rPr>
  </w:style>
  <w:style w:type="table" w:styleId="TableGrid">
    <w:name w:val="Table Grid"/>
    <w:basedOn w:val="TableNormal"/>
    <w:rsid w:val="006A39A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A39A4"/>
  </w:style>
  <w:style w:type="paragraph" w:customStyle="1" w:styleId="TableText">
    <w:name w:val="Table Text"/>
    <w:basedOn w:val="Normal"/>
    <w:qFormat/>
    <w:rsid w:val="009D38B5"/>
    <w:pPr>
      <w:tabs>
        <w:tab w:val="clear" w:pos="4513"/>
        <w:tab w:val="clear" w:pos="9026"/>
      </w:tabs>
      <w:spacing w:before="120" w:after="120"/>
    </w:pPr>
    <w:rPr>
      <w:rFonts w:eastAsia="Times New Roman" w:cs="Arial"/>
      <w:b/>
    </w:rPr>
  </w:style>
  <w:style w:type="paragraph" w:customStyle="1" w:styleId="Bullet2">
    <w:name w:val="Bullet 2"/>
    <w:basedOn w:val="Bullet"/>
    <w:qFormat/>
    <w:rsid w:val="006A39A4"/>
    <w:pPr>
      <w:numPr>
        <w:ilvl w:val="1"/>
      </w:numPr>
    </w:pPr>
  </w:style>
  <w:style w:type="paragraph" w:customStyle="1" w:styleId="Bullet">
    <w:name w:val="Bullet"/>
    <w:basedOn w:val="ListParagraph"/>
    <w:link w:val="BulletChar"/>
    <w:qFormat/>
    <w:rsid w:val="0037346C"/>
    <w:pPr>
      <w:numPr>
        <w:numId w:val="1"/>
      </w:numPr>
      <w:autoSpaceDE w:val="0"/>
      <w:autoSpaceDN w:val="0"/>
      <w:adjustRightInd w:val="0"/>
      <w:spacing w:before="120" w:after="120"/>
      <w:contextualSpacing w:val="0"/>
      <w:jc w:val="left"/>
    </w:pPr>
    <w:rPr>
      <w:rFonts w:cs="Arial"/>
      <w:color w:val="auto"/>
      <w:sz w:val="20"/>
      <w:lang w:eastAsia="en-AU"/>
    </w:rPr>
  </w:style>
  <w:style w:type="paragraph" w:customStyle="1" w:styleId="TableBullet">
    <w:name w:val="Table Bullet"/>
    <w:basedOn w:val="Bullet"/>
    <w:qFormat/>
    <w:rsid w:val="002D7660"/>
    <w:pPr>
      <w:spacing w:before="0" w:after="240"/>
    </w:pPr>
  </w:style>
  <w:style w:type="character" w:customStyle="1" w:styleId="BulletChar">
    <w:name w:val="Bullet Char"/>
    <w:basedOn w:val="DefaultParagraphFont"/>
    <w:link w:val="Bullet"/>
    <w:rsid w:val="0037346C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A39A4"/>
    <w:pPr>
      <w:tabs>
        <w:tab w:val="clear" w:pos="4513"/>
        <w:tab w:val="clear" w:pos="9026"/>
      </w:tabs>
      <w:ind w:left="720"/>
      <w:contextualSpacing/>
    </w:pPr>
    <w:rPr>
      <w:color w:val="404040" w:themeColor="text1" w:themeTint="BF"/>
      <w:lang w:eastAsia="en-US"/>
    </w:rPr>
  </w:style>
  <w:style w:type="paragraph" w:customStyle="1" w:styleId="TableTextnotbold">
    <w:name w:val="Table Text (not bold)"/>
    <w:basedOn w:val="TableText"/>
    <w:qFormat/>
    <w:rsid w:val="006A39A4"/>
    <w:rPr>
      <w:b w:val="0"/>
    </w:rPr>
  </w:style>
  <w:style w:type="paragraph" w:customStyle="1" w:styleId="TableTextNo">
    <w:name w:val="Table Text No."/>
    <w:basedOn w:val="TableText"/>
    <w:qFormat/>
    <w:rsid w:val="009D38B5"/>
    <w:pPr>
      <w:keepNext/>
      <w:numPr>
        <w:numId w:val="2"/>
      </w:numPr>
      <w:ind w:left="323" w:hanging="323"/>
    </w:pPr>
    <w:rPr>
      <w:sz w:val="20"/>
    </w:rPr>
  </w:style>
  <w:style w:type="paragraph" w:customStyle="1" w:styleId="BulletTable">
    <w:name w:val="Bullet Table"/>
    <w:basedOn w:val="Bullet"/>
    <w:link w:val="BulletTableChar"/>
    <w:qFormat/>
    <w:rsid w:val="006A39A4"/>
    <w:pPr>
      <w:numPr>
        <w:numId w:val="3"/>
      </w:numPr>
      <w:tabs>
        <w:tab w:val="clear" w:pos="720"/>
        <w:tab w:val="num" w:pos="360"/>
      </w:tabs>
      <w:ind w:left="284" w:hanging="284"/>
    </w:pPr>
  </w:style>
  <w:style w:type="character" w:customStyle="1" w:styleId="BulletTableChar">
    <w:name w:val="Bullet Table Char"/>
    <w:basedOn w:val="BulletChar"/>
    <w:link w:val="BulletTable"/>
    <w:rsid w:val="006A39A4"/>
    <w:rPr>
      <w:rFonts w:ascii="Verdana" w:eastAsia="Times New Roman" w:hAnsi="Verdana" w:cs="Arial"/>
      <w:sz w:val="20"/>
      <w:szCs w:val="20"/>
    </w:rPr>
  </w:style>
  <w:style w:type="paragraph" w:customStyle="1" w:styleId="BC">
    <w:name w:val="BC"/>
    <w:basedOn w:val="Normal"/>
    <w:link w:val="BCChar"/>
    <w:qFormat/>
    <w:rsid w:val="00240FE9"/>
    <w:pPr>
      <w:tabs>
        <w:tab w:val="clear" w:pos="4513"/>
        <w:tab w:val="clear" w:pos="9026"/>
      </w:tabs>
      <w:spacing w:after="240"/>
    </w:pPr>
    <w:rPr>
      <w:rFonts w:eastAsia="Times New Roman" w:cs="Arial"/>
      <w:sz w:val="20"/>
    </w:rPr>
  </w:style>
  <w:style w:type="character" w:customStyle="1" w:styleId="BCChar">
    <w:name w:val="BC Char"/>
    <w:basedOn w:val="DefaultParagraphFont"/>
    <w:link w:val="BC"/>
    <w:rsid w:val="00240FE9"/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39A4"/>
    <w:rPr>
      <w:rFonts w:ascii="Verdana" w:hAnsi="Verdana"/>
      <w:color w:val="404040" w:themeColor="text1" w:themeTint="BF"/>
      <w:sz w:val="20"/>
      <w:szCs w:val="20"/>
      <w:lang w:eastAsia="en-US"/>
    </w:rPr>
  </w:style>
  <w:style w:type="paragraph" w:customStyle="1" w:styleId="Title2">
    <w:name w:val="Title2"/>
    <w:basedOn w:val="Title"/>
    <w:qFormat/>
    <w:rsid w:val="00EB703E"/>
    <w:rPr>
      <w:color w:val="7AB800" w:themeColor="accent6"/>
      <w:sz w:val="24"/>
      <w:szCs w:val="24"/>
    </w:rPr>
  </w:style>
  <w:style w:type="paragraph" w:customStyle="1" w:styleId="Table10B">
    <w:name w:val="Table 10 B"/>
    <w:basedOn w:val="TableText"/>
    <w:qFormat/>
    <w:rsid w:val="009D3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5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40FE9"/>
    <w:rPr>
      <w:rFonts w:ascii="Arial" w:eastAsiaTheme="majorEastAsia" w:hAnsi="Arial" w:cs="Arial"/>
      <w:b/>
      <w:color w:val="E98300" w:themeColor="accent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1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7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7F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F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1252"/>
    <w:rPr>
      <w:rFonts w:ascii="Arial" w:hAnsi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58D"/>
    <w:pPr>
      <w:keepNext/>
      <w:tabs>
        <w:tab w:val="clear" w:pos="4513"/>
        <w:tab w:val="clear" w:pos="9026"/>
      </w:tabs>
      <w:outlineLvl w:val="0"/>
    </w:pPr>
    <w:rPr>
      <w:rFonts w:eastAsia="Times New Roman" w:cs="Arial"/>
      <w:b/>
      <w:caps/>
      <w:color w:val="7AB8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458D"/>
    <w:rPr>
      <w:rFonts w:ascii="Arial" w:eastAsia="Times New Roman" w:hAnsi="Arial" w:cs="Arial"/>
      <w:b/>
      <w:caps/>
      <w:color w:val="7AB8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UC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FECB00"/>
      </a:accent1>
      <a:accent2>
        <a:srgbClr val="FFB612"/>
      </a:accent2>
      <a:accent3>
        <a:srgbClr val="E98300"/>
      </a:accent3>
      <a:accent4>
        <a:srgbClr val="E05206"/>
      </a:accent4>
      <a:accent5>
        <a:srgbClr val="BED600"/>
      </a:accent5>
      <a:accent6>
        <a:srgbClr val="7AB8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7136-FB59-4408-8FD1-FDA96E0B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Katrina Craib</dc:creator>
  <cp:keywords/>
  <dc:description/>
  <cp:lastModifiedBy>Kara Briggs</cp:lastModifiedBy>
  <cp:revision>5</cp:revision>
  <cp:lastPrinted>2017-07-19T21:04:00Z</cp:lastPrinted>
  <dcterms:created xsi:type="dcterms:W3CDTF">2026-01-19T06:58:00Z</dcterms:created>
  <dcterms:modified xsi:type="dcterms:W3CDTF">2026-01-19T07:42:00Z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72627183-8a2e-42cd-bf17-b55e20d1ded6</vt:lpwstr>
  </property>
</Properties>
</file>