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6CD8" w14:textId="77777777" w:rsidR="00E7676D" w:rsidRDefault="00E7676D" w:rsidP="00E7676D">
      <w:pPr>
        <w:pStyle w:val="Heading1"/>
      </w:pPr>
      <w:bookmarkStart w:id="0" w:name="_Toc442780672"/>
      <w:r w:rsidRPr="00EC6F63">
        <w:t>Portable Long Service Authority – Governing Board</w:t>
      </w:r>
    </w:p>
    <w:p w14:paraId="0DC674E9" w14:textId="77777777" w:rsidR="00E7676D" w:rsidRPr="00EC6F63" w:rsidRDefault="00E7676D" w:rsidP="00E7676D">
      <w:pPr>
        <w:pStyle w:val="Heading2"/>
      </w:pPr>
      <w:r>
        <w:t>Position Description</w:t>
      </w:r>
    </w:p>
    <w:tbl>
      <w:tblPr>
        <w:tblStyle w:val="DTFtexttable"/>
        <w:tblW w:w="9214" w:type="dxa"/>
        <w:tblLook w:val="06A0" w:firstRow="1" w:lastRow="0" w:firstColumn="1" w:lastColumn="0" w:noHBand="1" w:noVBand="1"/>
      </w:tblPr>
      <w:tblGrid>
        <w:gridCol w:w="2256"/>
        <w:gridCol w:w="6958"/>
      </w:tblGrid>
      <w:tr w:rsidR="00E7676D" w14:paraId="516ABAC4" w14:textId="77777777" w:rsidTr="008953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6" w:type="dxa"/>
          </w:tcPr>
          <w:p w14:paraId="117FCB57" w14:textId="77777777" w:rsidR="00E7676D" w:rsidRDefault="00E7676D" w:rsidP="008953CE">
            <w:r>
              <w:t>Role</w:t>
            </w:r>
          </w:p>
        </w:tc>
        <w:tc>
          <w:tcPr>
            <w:tcW w:w="6958" w:type="dxa"/>
          </w:tcPr>
          <w:p w14:paraId="6EA88106" w14:textId="4DD3B3FE" w:rsidR="00E7676D" w:rsidRPr="00D64816" w:rsidRDefault="00E7676D" w:rsidP="008953CE">
            <w:pPr>
              <w:cnfStyle w:val="100000000000" w:firstRow="1" w:lastRow="0" w:firstColumn="0" w:lastColumn="0" w:oddVBand="0" w:evenVBand="0" w:oddHBand="0" w:evenHBand="0" w:firstRowFirstColumn="0" w:firstRowLastColumn="0" w:lastRowFirstColumn="0" w:lastRowLastColumn="0"/>
              <w:rPr>
                <w:b w:val="0"/>
                <w:bCs/>
                <w:sz w:val="20"/>
                <w:szCs w:val="20"/>
              </w:rPr>
            </w:pPr>
            <w:r w:rsidRPr="00D64816">
              <w:rPr>
                <w:b w:val="0"/>
                <w:bCs/>
                <w:sz w:val="20"/>
                <w:szCs w:val="20"/>
              </w:rPr>
              <w:t xml:space="preserve">Board </w:t>
            </w:r>
            <w:r>
              <w:rPr>
                <w:b w:val="0"/>
                <w:bCs/>
                <w:sz w:val="20"/>
                <w:szCs w:val="20"/>
              </w:rPr>
              <w:t xml:space="preserve">member </w:t>
            </w:r>
            <w:r w:rsidR="00016DC1">
              <w:rPr>
                <w:b w:val="0"/>
                <w:bCs/>
                <w:sz w:val="20"/>
                <w:szCs w:val="20"/>
              </w:rPr>
              <w:t xml:space="preserve">(1 position) - </w:t>
            </w:r>
            <w:r w:rsidR="00016DC1" w:rsidRPr="00016DC1">
              <w:rPr>
                <w:b w:val="0"/>
                <w:bCs/>
                <w:sz w:val="20"/>
                <w:szCs w:val="20"/>
              </w:rPr>
              <w:t>To represent the interests of employees for a covered sector</w:t>
            </w:r>
          </w:p>
        </w:tc>
      </w:tr>
      <w:tr w:rsidR="00E7676D" w14:paraId="7C659531" w14:textId="77777777" w:rsidTr="008953CE">
        <w:tc>
          <w:tcPr>
            <w:cnfStyle w:val="001000000000" w:firstRow="0" w:lastRow="0" w:firstColumn="1" w:lastColumn="0" w:oddVBand="0" w:evenVBand="0" w:oddHBand="0" w:evenHBand="0" w:firstRowFirstColumn="0" w:firstRowLastColumn="0" w:lastRowFirstColumn="0" w:lastRowLastColumn="0"/>
            <w:tcW w:w="2256" w:type="dxa"/>
          </w:tcPr>
          <w:p w14:paraId="068BC726" w14:textId="77777777" w:rsidR="00E7676D" w:rsidRDefault="00E7676D" w:rsidP="008953CE">
            <w:r w:rsidRPr="00D64816">
              <w:t>Entity</w:t>
            </w:r>
          </w:p>
        </w:tc>
        <w:tc>
          <w:tcPr>
            <w:tcW w:w="6958" w:type="dxa"/>
          </w:tcPr>
          <w:p w14:paraId="3B63BD65" w14:textId="77777777" w:rsidR="00E7676D" w:rsidRPr="00D64816" w:rsidRDefault="00E7676D" w:rsidP="008953CE">
            <w:pPr>
              <w:cnfStyle w:val="000000000000" w:firstRow="0" w:lastRow="0" w:firstColumn="0" w:lastColumn="0" w:oddVBand="0" w:evenVBand="0" w:oddHBand="0" w:evenHBand="0" w:firstRowFirstColumn="0" w:firstRowLastColumn="0" w:lastRowFirstColumn="0" w:lastRowLastColumn="0"/>
            </w:pPr>
            <w:r w:rsidRPr="00D64816">
              <w:t>Portable Long Service Benefits Authority Governing Board</w:t>
            </w:r>
          </w:p>
        </w:tc>
      </w:tr>
      <w:tr w:rsidR="00E7676D" w14:paraId="2D976B0E" w14:textId="77777777" w:rsidTr="008953CE">
        <w:tc>
          <w:tcPr>
            <w:cnfStyle w:val="001000000000" w:firstRow="0" w:lastRow="0" w:firstColumn="1" w:lastColumn="0" w:oddVBand="0" w:evenVBand="0" w:oddHBand="0" w:evenHBand="0" w:firstRowFirstColumn="0" w:firstRowLastColumn="0" w:lastRowFirstColumn="0" w:lastRowLastColumn="0"/>
            <w:tcW w:w="2256" w:type="dxa"/>
          </w:tcPr>
          <w:p w14:paraId="60198045" w14:textId="77777777" w:rsidR="00E7676D" w:rsidRDefault="00E7676D" w:rsidP="008953CE">
            <w:r w:rsidRPr="00D64816">
              <w:t>Accountable to:</w:t>
            </w:r>
          </w:p>
        </w:tc>
        <w:tc>
          <w:tcPr>
            <w:tcW w:w="6958" w:type="dxa"/>
          </w:tcPr>
          <w:p w14:paraId="4D5AC07D" w14:textId="77777777" w:rsidR="00E7676D" w:rsidRDefault="00E7676D" w:rsidP="008953CE">
            <w:pPr>
              <w:cnfStyle w:val="000000000000" w:firstRow="0" w:lastRow="0" w:firstColumn="0" w:lastColumn="0" w:oddVBand="0" w:evenVBand="0" w:oddHBand="0" w:evenHBand="0" w:firstRowFirstColumn="0" w:firstRowLastColumn="0" w:lastRowFirstColumn="0" w:lastRowLastColumn="0"/>
            </w:pPr>
            <w:r w:rsidRPr="00D64816">
              <w:t>Minister for Industrial Relations</w:t>
            </w:r>
          </w:p>
        </w:tc>
      </w:tr>
      <w:tr w:rsidR="00E7676D" w14:paraId="783B10DA" w14:textId="77777777" w:rsidTr="008953CE">
        <w:tc>
          <w:tcPr>
            <w:cnfStyle w:val="001000000000" w:firstRow="0" w:lastRow="0" w:firstColumn="1" w:lastColumn="0" w:oddVBand="0" w:evenVBand="0" w:oddHBand="0" w:evenHBand="0" w:firstRowFirstColumn="0" w:firstRowLastColumn="0" w:lastRowFirstColumn="0" w:lastRowLastColumn="0"/>
            <w:tcW w:w="2256" w:type="dxa"/>
          </w:tcPr>
          <w:p w14:paraId="24F2C44A" w14:textId="77777777" w:rsidR="00E7676D" w:rsidRPr="00D64816" w:rsidRDefault="00E7676D" w:rsidP="008953CE">
            <w:r w:rsidRPr="00D64816">
              <w:t>Location</w:t>
            </w:r>
          </w:p>
        </w:tc>
        <w:tc>
          <w:tcPr>
            <w:tcW w:w="6958" w:type="dxa"/>
          </w:tcPr>
          <w:p w14:paraId="10611A4F" w14:textId="77777777" w:rsidR="00E7676D" w:rsidRDefault="00E7676D" w:rsidP="008953CE">
            <w:pPr>
              <w:cnfStyle w:val="000000000000" w:firstRow="0" w:lastRow="0" w:firstColumn="0" w:lastColumn="0" w:oddVBand="0" w:evenVBand="0" w:oddHBand="0" w:evenHBand="0" w:firstRowFirstColumn="0" w:firstRowLastColumn="0" w:lastRowFirstColumn="0" w:lastRowLastColumn="0"/>
            </w:pPr>
            <w:r w:rsidRPr="00D64816">
              <w:t>Victoria</w:t>
            </w:r>
          </w:p>
        </w:tc>
      </w:tr>
      <w:tr w:rsidR="00E7676D" w14:paraId="47BA882F" w14:textId="77777777" w:rsidTr="008953CE">
        <w:tc>
          <w:tcPr>
            <w:cnfStyle w:val="001000000000" w:firstRow="0" w:lastRow="0" w:firstColumn="1" w:lastColumn="0" w:oddVBand="0" w:evenVBand="0" w:oddHBand="0" w:evenHBand="0" w:firstRowFirstColumn="0" w:firstRowLastColumn="0" w:lastRowFirstColumn="0" w:lastRowLastColumn="0"/>
            <w:tcW w:w="2256" w:type="dxa"/>
          </w:tcPr>
          <w:p w14:paraId="0D027854" w14:textId="77777777" w:rsidR="00E7676D" w:rsidRDefault="00E7676D" w:rsidP="008953CE">
            <w:r w:rsidRPr="00D64816">
              <w:t>Term</w:t>
            </w:r>
          </w:p>
        </w:tc>
        <w:tc>
          <w:tcPr>
            <w:tcW w:w="6958" w:type="dxa"/>
          </w:tcPr>
          <w:p w14:paraId="32CEEF2E" w14:textId="77777777" w:rsidR="00E7676D" w:rsidRDefault="00E7676D" w:rsidP="008953CE">
            <w:pPr>
              <w:cnfStyle w:val="000000000000" w:firstRow="0" w:lastRow="0" w:firstColumn="0" w:lastColumn="0" w:oddVBand="0" w:evenVBand="0" w:oddHBand="0" w:evenHBand="0" w:firstRowFirstColumn="0" w:firstRowLastColumn="0" w:lastRowFirstColumn="0" w:lastRowLastColumn="0"/>
            </w:pPr>
            <w:r w:rsidRPr="00D64816">
              <w:t>Up to three years (eligible for re-appointment)</w:t>
            </w:r>
          </w:p>
        </w:tc>
      </w:tr>
    </w:tbl>
    <w:p w14:paraId="5A07500F" w14:textId="77777777" w:rsidR="00E7676D" w:rsidRPr="00BF5AC8" w:rsidRDefault="00E7676D" w:rsidP="00E7676D">
      <w:pPr>
        <w:pStyle w:val="Heading2"/>
      </w:pPr>
      <w:r w:rsidRPr="00BF5AC8">
        <w:t>Introduction</w:t>
      </w:r>
    </w:p>
    <w:p w14:paraId="6597393F" w14:textId="711246FC" w:rsidR="00E7676D" w:rsidRDefault="00E7676D" w:rsidP="00E7676D">
      <w:r>
        <w:t xml:space="preserve">Applications are invited </w:t>
      </w:r>
      <w:r w:rsidR="005312CB">
        <w:t xml:space="preserve">to fill </w:t>
      </w:r>
      <w:r w:rsidR="00016DC1">
        <w:rPr>
          <w:color w:val="auto"/>
        </w:rPr>
        <w:t xml:space="preserve">a vacancy for one ordinary member of the Governing Board of the </w:t>
      </w:r>
      <w:r w:rsidR="00016DC1" w:rsidRPr="005D355B">
        <w:rPr>
          <w:color w:val="auto"/>
        </w:rPr>
        <w:t>Portable Long Ser</w:t>
      </w:r>
      <w:r w:rsidR="00016DC1">
        <w:rPr>
          <w:color w:val="auto"/>
        </w:rPr>
        <w:t>vice Benefits Authority (PLSA) representing the interests of employees for a covered sector</w:t>
      </w:r>
      <w:r>
        <w:t xml:space="preserve">. The PLSA is an independent statutory body established under the </w:t>
      </w:r>
      <w:r w:rsidRPr="001259CB">
        <w:rPr>
          <w:i/>
          <w:iCs/>
        </w:rPr>
        <w:t>Long Service Benefits Portability Act 2018</w:t>
      </w:r>
      <w:r>
        <w:t xml:space="preserve"> (the Act) to create a portable long service benefits scheme for the community services, contract cleaning and security sectors</w:t>
      </w:r>
      <w:r w:rsidR="00016DC1">
        <w:t xml:space="preserve"> (covered sectors)</w:t>
      </w:r>
      <w:r>
        <w:t xml:space="preserve">. The </w:t>
      </w:r>
      <w:r w:rsidR="00016DC1">
        <w:t>PLSA</w:t>
      </w:r>
      <w:r w:rsidR="008935C6">
        <w:t xml:space="preserve"> </w:t>
      </w:r>
      <w:r>
        <w:t xml:space="preserve">became operational on 1 July 2019 and works with the Board to administer the scheme. </w:t>
      </w:r>
    </w:p>
    <w:p w14:paraId="32938915" w14:textId="2E49D85F" w:rsidR="005312CB" w:rsidRPr="001259CB" w:rsidRDefault="005312CB" w:rsidP="00E7676D">
      <w:pPr>
        <w:rPr>
          <w:b/>
          <w:bCs/>
        </w:rPr>
      </w:pPr>
      <w:r w:rsidRPr="001259CB">
        <w:rPr>
          <w:b/>
          <w:bCs/>
        </w:rPr>
        <w:t>To be considered for appointment:</w:t>
      </w:r>
    </w:p>
    <w:p w14:paraId="3A4CBD07" w14:textId="3F0FF566" w:rsidR="005312CB" w:rsidRPr="001259CB" w:rsidRDefault="005312CB" w:rsidP="00E7676D">
      <w:pPr>
        <w:rPr>
          <w:b/>
          <w:bCs/>
        </w:rPr>
      </w:pPr>
      <w:r w:rsidRPr="001259CB">
        <w:rPr>
          <w:b/>
          <w:bCs/>
        </w:rPr>
        <w:t>All applicants must provide with their application a letter from an appropriate organisation of employees supporting their nomination (see sections 37(2)(a)(ii) and 37A</w:t>
      </w:r>
      <w:r>
        <w:rPr>
          <w:b/>
          <w:bCs/>
        </w:rPr>
        <w:t>(2)</w:t>
      </w:r>
      <w:r w:rsidRPr="001259CB">
        <w:rPr>
          <w:b/>
          <w:bCs/>
        </w:rPr>
        <w:t xml:space="preserve"> of the </w:t>
      </w:r>
      <w:r w:rsidRPr="001259CB">
        <w:rPr>
          <w:b/>
          <w:bCs/>
          <w:i/>
          <w:iCs/>
        </w:rPr>
        <w:t>Long Service Benefits Portability Act 2018</w:t>
      </w:r>
      <w:r w:rsidRPr="001259CB">
        <w:rPr>
          <w:b/>
          <w:bCs/>
        </w:rPr>
        <w:t xml:space="preserve">). </w:t>
      </w:r>
    </w:p>
    <w:p w14:paraId="79D9E60F" w14:textId="198FBCDA" w:rsidR="005312CB" w:rsidRPr="001259CB" w:rsidRDefault="005312CB" w:rsidP="00E7676D">
      <w:pPr>
        <w:rPr>
          <w:b/>
          <w:bCs/>
        </w:rPr>
      </w:pPr>
      <w:r w:rsidRPr="001259CB">
        <w:rPr>
          <w:b/>
          <w:bCs/>
        </w:rPr>
        <w:t>An applicant is not required to be an officer or employee of the organisation making the nomination.</w:t>
      </w:r>
    </w:p>
    <w:p w14:paraId="757C1201" w14:textId="77777777" w:rsidR="00E7676D" w:rsidRPr="00BF5AC8" w:rsidRDefault="00E7676D" w:rsidP="00E7676D">
      <w:pPr>
        <w:pStyle w:val="Heading2"/>
      </w:pPr>
      <w:r w:rsidRPr="00BF5AC8">
        <w:t>The role of the PLSA Governing Board</w:t>
      </w:r>
    </w:p>
    <w:p w14:paraId="33CBB4B0" w14:textId="77777777" w:rsidR="00E7676D" w:rsidRDefault="00E7676D" w:rsidP="00E7676D">
      <w:r>
        <w:t>Under the Act, the PLSA Governing Board has specific responsibility for governance, strategic planning and risk management for the Authority including setting the levy to be paid by relevant employers and contract workers. This levy funds the scheme. The Board is also responsible for advising the Minister in relation to long service benefits affecting employees working within the three industries including reciprocal arrangements with other similar schemes.</w:t>
      </w:r>
    </w:p>
    <w:p w14:paraId="28DF9563" w14:textId="77777777" w:rsidR="00E7676D" w:rsidRDefault="00E7676D" w:rsidP="00E7676D">
      <w:r>
        <w:t>Implementation of the PLSA is supported by Industrial Relations Victoria within the Department of Treasury and Finance (DTF).</w:t>
      </w:r>
    </w:p>
    <w:p w14:paraId="2472BB74" w14:textId="77777777" w:rsidR="00E7676D" w:rsidRDefault="00E7676D" w:rsidP="00E7676D">
      <w:pPr>
        <w:pStyle w:val="Heading2"/>
      </w:pPr>
      <w:r>
        <w:t xml:space="preserve">Duties </w:t>
      </w:r>
    </w:p>
    <w:p w14:paraId="608E055D" w14:textId="77777777" w:rsidR="00E7676D" w:rsidRDefault="00E7676D" w:rsidP="00E7676D">
      <w:r>
        <w:t xml:space="preserve">Members: </w:t>
      </w:r>
    </w:p>
    <w:p w14:paraId="4370B1C7" w14:textId="77777777" w:rsidR="00E7676D" w:rsidRDefault="00E7676D" w:rsidP="00E7676D">
      <w:pPr>
        <w:pStyle w:val="ListParagraph"/>
        <w:numPr>
          <w:ilvl w:val="0"/>
          <w:numId w:val="46"/>
        </w:numPr>
      </w:pPr>
      <w:r>
        <w:t>Attend scheduled PLSA board meetings</w:t>
      </w:r>
    </w:p>
    <w:p w14:paraId="5560F5D6" w14:textId="77777777" w:rsidR="00E7676D" w:rsidRDefault="00E7676D" w:rsidP="00E7676D">
      <w:pPr>
        <w:pStyle w:val="ListParagraph"/>
        <w:numPr>
          <w:ilvl w:val="0"/>
          <w:numId w:val="46"/>
        </w:numPr>
      </w:pPr>
      <w:r>
        <w:lastRenderedPageBreak/>
        <w:t>Ensure adequate preparation for PLSA board meetings to be able to contribute, clearly articulate points of view or concerns and work collaboratively with other Board members and relevant stakeholders as required.</w:t>
      </w:r>
    </w:p>
    <w:p w14:paraId="03C3E4B8" w14:textId="77777777" w:rsidR="00E7676D" w:rsidRDefault="00E7676D" w:rsidP="00E7676D">
      <w:pPr>
        <w:pStyle w:val="ListParagraph"/>
        <w:numPr>
          <w:ilvl w:val="0"/>
          <w:numId w:val="46"/>
        </w:numPr>
      </w:pPr>
      <w:r>
        <w:t>Represent the PLSA at engagements and/or meetings with employer and employee organisations as required</w:t>
      </w:r>
    </w:p>
    <w:p w14:paraId="0D2A0F62" w14:textId="77777777" w:rsidR="00E7676D" w:rsidRDefault="00E7676D" w:rsidP="00E7676D">
      <w:pPr>
        <w:pStyle w:val="ListParagraph"/>
        <w:numPr>
          <w:ilvl w:val="0"/>
          <w:numId w:val="46"/>
        </w:numPr>
      </w:pPr>
      <w:r>
        <w:t>Demonstrate VPS values on behalf of the Authority.in all interactions.</w:t>
      </w:r>
    </w:p>
    <w:p w14:paraId="219CE058" w14:textId="77777777" w:rsidR="00E7676D" w:rsidRDefault="00E7676D" w:rsidP="00E7676D">
      <w:pPr>
        <w:pStyle w:val="Heading2"/>
      </w:pPr>
      <w:r>
        <w:t xml:space="preserve">Time commitment </w:t>
      </w:r>
    </w:p>
    <w:p w14:paraId="1A575D39" w14:textId="4691F759" w:rsidR="00E7676D" w:rsidRDefault="00016DC1" w:rsidP="00E7676D">
      <w:bookmarkStart w:id="1" w:name="_Hlk213773828"/>
      <w:r>
        <w:t xml:space="preserve">The </w:t>
      </w:r>
      <w:r w:rsidR="00E7676D">
        <w:t xml:space="preserve">PLSA Governing Board </w:t>
      </w:r>
      <w:r>
        <w:t xml:space="preserve">meets approximately five times per year for </w:t>
      </w:r>
      <w:r w:rsidR="00E7676D">
        <w:t xml:space="preserve">3 hours. In addition, the Board has established a risk and audit committee, and other committees may be established on an as-needs basis. </w:t>
      </w:r>
    </w:p>
    <w:p w14:paraId="24A0119A" w14:textId="77777777" w:rsidR="00E7676D" w:rsidRDefault="00E7676D" w:rsidP="00E7676D">
      <w:r>
        <w:t xml:space="preserve">Appointees should expect to devote an average of 8-10 hours per month to PLSA activities over the course of the year. </w:t>
      </w:r>
    </w:p>
    <w:p w14:paraId="2BCFF5C5" w14:textId="77777777" w:rsidR="00E7676D" w:rsidRDefault="00E7676D" w:rsidP="00E7676D">
      <w:r>
        <w:t>While the Authority is based in Bendigo, Board meetings may be held in other locations or online.</w:t>
      </w:r>
    </w:p>
    <w:bookmarkEnd w:id="1"/>
    <w:p w14:paraId="64146294" w14:textId="77777777" w:rsidR="00E7676D" w:rsidRPr="00C002F0" w:rsidRDefault="00E7676D" w:rsidP="00E7676D">
      <w:pPr>
        <w:pStyle w:val="Heading2"/>
      </w:pPr>
      <w:r w:rsidRPr="00C002F0">
        <w:t>Remuneration and expenses</w:t>
      </w:r>
    </w:p>
    <w:p w14:paraId="7D16A3B3" w14:textId="70D37F33" w:rsidR="00E7676D" w:rsidRDefault="00E7676D" w:rsidP="00E7676D">
      <w:r>
        <w:t xml:space="preserve">Remuneration for members of the PLSA Governing Board is classified for that of a </w:t>
      </w:r>
      <w:r w:rsidRPr="001259CB">
        <w:t>A</w:t>
      </w:r>
      <w:r w:rsidR="005312CB" w:rsidRPr="001259CB">
        <w:t>3</w:t>
      </w:r>
      <w:r w:rsidRPr="001259CB">
        <w:t xml:space="preserve"> organisation</w:t>
      </w:r>
      <w:r>
        <w:t xml:space="preserve"> under the Appointment and Remuneration Guidelines.</w:t>
      </w:r>
    </w:p>
    <w:p w14:paraId="6893055B" w14:textId="77777777" w:rsidR="00E7676D" w:rsidRPr="005E3775" w:rsidRDefault="00E7676D" w:rsidP="00E7676D">
      <w:pPr>
        <w:rPr>
          <w:b/>
          <w:bCs/>
        </w:rPr>
      </w:pPr>
      <w:r w:rsidRPr="005E3775">
        <w:t>Travelling and reasonable out of pocket expenses for Board meetings are fixed at the rates that apply for employees of DTF.</w:t>
      </w:r>
    </w:p>
    <w:p w14:paraId="6B4173A9" w14:textId="77777777" w:rsidR="00E7676D" w:rsidRDefault="00E7676D" w:rsidP="00E7676D">
      <w:r>
        <w:t xml:space="preserve">A copy of the Appointment and Remuneration Guidelines can be found by visiting: </w:t>
      </w:r>
      <w:hyperlink r:id="rId9" w:history="1">
        <w:r w:rsidRPr="005E3775">
          <w:rPr>
            <w:rStyle w:val="Hyperlink"/>
          </w:rPr>
          <w:t>Board appointment, remuneration and diversity guidance | vic.gov.au (www.vic.gov.au)</w:t>
        </w:r>
      </w:hyperlink>
    </w:p>
    <w:p w14:paraId="48FF010C" w14:textId="77777777" w:rsidR="00E7676D" w:rsidRDefault="00E7676D" w:rsidP="00E7676D">
      <w:pPr>
        <w:pStyle w:val="Heading2"/>
      </w:pPr>
      <w:r>
        <w:t>Term of appointment</w:t>
      </w:r>
    </w:p>
    <w:p w14:paraId="79D7FD80" w14:textId="77777777" w:rsidR="00E7676D" w:rsidRDefault="00E7676D" w:rsidP="00E7676D">
      <w:r>
        <w:t>In accordance with the Act, members may be appointed for an initial term of up to three years. Members may subsequently be reappointed at the discretion of the Minister for Industrial Relations.</w:t>
      </w:r>
    </w:p>
    <w:p w14:paraId="6E251707" w14:textId="77777777" w:rsidR="00E7676D" w:rsidRDefault="00E7676D" w:rsidP="00E7676D">
      <w:pPr>
        <w:pStyle w:val="Heading2"/>
      </w:pPr>
      <w:r>
        <w:t>Composition of the PLSA Governing Board</w:t>
      </w:r>
    </w:p>
    <w:p w14:paraId="1FF14761" w14:textId="428968C2" w:rsidR="00E7676D" w:rsidRDefault="00E7676D" w:rsidP="00E7676D">
      <w:r>
        <w:t xml:space="preserve">The PLSA Governing Board comprises up to nine members appointed by the Minister for Industrial Relations. The membership structure of the PLSA Board is determined by the provisions of the </w:t>
      </w:r>
      <w:r w:rsidRPr="001259CB">
        <w:rPr>
          <w:i/>
          <w:iCs/>
        </w:rPr>
        <w:t>Long Service Benefits Portability Act 2018</w:t>
      </w:r>
      <w:r>
        <w:t>:</w:t>
      </w:r>
    </w:p>
    <w:p w14:paraId="064C1402" w14:textId="77777777" w:rsidR="00E7676D" w:rsidRDefault="00E7676D" w:rsidP="00E7676D">
      <w:pPr>
        <w:pStyle w:val="ListParagraph"/>
        <w:numPr>
          <w:ilvl w:val="0"/>
          <w:numId w:val="46"/>
        </w:numPr>
      </w:pPr>
      <w:r>
        <w:t>3 persons nominated by one or more organisations of employers to represent the interests of employers for a covered industry</w:t>
      </w:r>
    </w:p>
    <w:p w14:paraId="2FA833F2" w14:textId="77777777" w:rsidR="00E7676D" w:rsidRDefault="00E7676D" w:rsidP="00E7676D">
      <w:pPr>
        <w:pStyle w:val="ListParagraph"/>
        <w:numPr>
          <w:ilvl w:val="0"/>
          <w:numId w:val="46"/>
        </w:numPr>
      </w:pPr>
      <w:r>
        <w:t>3 persons nominated by one or more organisations of employees to represent the interests of employees for a covered industry</w:t>
      </w:r>
    </w:p>
    <w:p w14:paraId="62DD8CA0" w14:textId="77777777" w:rsidR="00E7676D" w:rsidRDefault="00E7676D" w:rsidP="00E7676D">
      <w:pPr>
        <w:pStyle w:val="ListParagraph"/>
        <w:numPr>
          <w:ilvl w:val="0"/>
          <w:numId w:val="46"/>
        </w:numPr>
      </w:pPr>
      <w:r>
        <w:t xml:space="preserve">A Chair and Deputy Chair who do not represent the interests of employers or employees but in the Minister’s opinion, have the necessary skills, qualifications and experience to be members of the Governing Board; </w:t>
      </w:r>
    </w:p>
    <w:p w14:paraId="6868BB6D" w14:textId="77777777" w:rsidR="00E7676D" w:rsidRDefault="00E7676D" w:rsidP="00E7676D">
      <w:pPr>
        <w:pStyle w:val="ListParagraph"/>
        <w:numPr>
          <w:ilvl w:val="0"/>
          <w:numId w:val="46"/>
        </w:numPr>
      </w:pPr>
      <w:r>
        <w:t>The registrar (non-voting, ex officio).</w:t>
      </w:r>
    </w:p>
    <w:p w14:paraId="14EB349E" w14:textId="77777777" w:rsidR="00E7676D" w:rsidRDefault="00E7676D" w:rsidP="00E7676D">
      <w:pPr>
        <w:pStyle w:val="ListParagraph"/>
      </w:pPr>
    </w:p>
    <w:p w14:paraId="1E4E5A15" w14:textId="77777777" w:rsidR="00E7676D" w:rsidRDefault="00E7676D" w:rsidP="00E7676D">
      <w:r>
        <w:t>Collectively the members must have the skills or experience in relation to the following:</w:t>
      </w:r>
    </w:p>
    <w:p w14:paraId="3EE29273" w14:textId="77777777" w:rsidR="00E7676D" w:rsidRDefault="00E7676D" w:rsidP="00E7676D">
      <w:pPr>
        <w:pStyle w:val="ListParagraph"/>
        <w:numPr>
          <w:ilvl w:val="0"/>
          <w:numId w:val="47"/>
        </w:numPr>
      </w:pPr>
      <w:r>
        <w:t xml:space="preserve">legal practice; </w:t>
      </w:r>
    </w:p>
    <w:p w14:paraId="15190FCF" w14:textId="77777777" w:rsidR="00E7676D" w:rsidRDefault="00E7676D" w:rsidP="00E7676D">
      <w:pPr>
        <w:pStyle w:val="ListParagraph"/>
        <w:numPr>
          <w:ilvl w:val="0"/>
          <w:numId w:val="47"/>
        </w:numPr>
      </w:pPr>
      <w:r>
        <w:t xml:space="preserve">finance or accounting; </w:t>
      </w:r>
    </w:p>
    <w:p w14:paraId="7D803D5B" w14:textId="77777777" w:rsidR="00E7676D" w:rsidRDefault="00E7676D" w:rsidP="00E7676D">
      <w:pPr>
        <w:pStyle w:val="ListParagraph"/>
        <w:numPr>
          <w:ilvl w:val="0"/>
          <w:numId w:val="47"/>
        </w:numPr>
      </w:pPr>
      <w:r>
        <w:t>public administration or governance.</w:t>
      </w:r>
    </w:p>
    <w:p w14:paraId="3BBEBF00" w14:textId="77777777" w:rsidR="00E7676D" w:rsidRPr="00C002F0" w:rsidRDefault="00E7676D" w:rsidP="00E7676D">
      <w:pPr>
        <w:pStyle w:val="Heading2"/>
      </w:pPr>
      <w:r w:rsidRPr="00C002F0">
        <w:lastRenderedPageBreak/>
        <w:t>The governance framework</w:t>
      </w:r>
    </w:p>
    <w:p w14:paraId="1FB22F0E" w14:textId="77777777" w:rsidR="00E7676D" w:rsidRDefault="00E7676D" w:rsidP="00E7676D">
      <w:pPr>
        <w:pStyle w:val="Heading4"/>
      </w:pPr>
      <w:r>
        <w:t>Legislative context</w:t>
      </w:r>
    </w:p>
    <w:p w14:paraId="11C3ED94" w14:textId="77777777" w:rsidR="00E7676D" w:rsidRDefault="00E7676D" w:rsidP="00E7676D">
      <w:r>
        <w:t>The PLSA Governing Board is regulated by relevant sections of the:</w:t>
      </w:r>
    </w:p>
    <w:p w14:paraId="247DF0CD" w14:textId="77777777" w:rsidR="00E7676D" w:rsidRDefault="00E7676D" w:rsidP="00E7676D">
      <w:pPr>
        <w:pStyle w:val="ListParagraph"/>
        <w:numPr>
          <w:ilvl w:val="0"/>
          <w:numId w:val="46"/>
        </w:numPr>
      </w:pPr>
      <w:r w:rsidRPr="001259CB">
        <w:rPr>
          <w:i/>
          <w:iCs/>
        </w:rPr>
        <w:t>Long Service Benefits Portability Act 2018</w:t>
      </w:r>
      <w:r>
        <w:t>: Part 5 of the Act outlines the objectives, functions, powers and conditions of the PLSA Governing Board;</w:t>
      </w:r>
    </w:p>
    <w:p w14:paraId="0E8BBE7E" w14:textId="77777777" w:rsidR="00E7676D" w:rsidRDefault="00E7676D" w:rsidP="00E7676D">
      <w:pPr>
        <w:pStyle w:val="ListParagraph"/>
        <w:numPr>
          <w:ilvl w:val="0"/>
          <w:numId w:val="46"/>
        </w:numPr>
      </w:pPr>
      <w:r w:rsidRPr="001259CB">
        <w:rPr>
          <w:i/>
          <w:iCs/>
        </w:rPr>
        <w:t>Public Administration Act 2004</w:t>
      </w:r>
      <w:r>
        <w:t>: sets out the expected standards of conduct across the public sector;</w:t>
      </w:r>
    </w:p>
    <w:p w14:paraId="2217AF55" w14:textId="77777777" w:rsidR="00E7676D" w:rsidRDefault="00E7676D" w:rsidP="00E7676D">
      <w:pPr>
        <w:pStyle w:val="ListParagraph"/>
        <w:numPr>
          <w:ilvl w:val="0"/>
          <w:numId w:val="46"/>
        </w:numPr>
      </w:pPr>
      <w:r w:rsidRPr="001259CB">
        <w:rPr>
          <w:i/>
          <w:iCs/>
        </w:rPr>
        <w:t>Financial Management Act 1994</w:t>
      </w:r>
      <w:r>
        <w:t>: the basis for financial management and reporting requirements for public bodies in Victoria.</w:t>
      </w:r>
    </w:p>
    <w:p w14:paraId="01AE1544" w14:textId="77777777" w:rsidR="00E7676D" w:rsidRDefault="00E7676D" w:rsidP="00E7676D">
      <w:r>
        <w:t>There is also a range of whole-of-government laws that the PLSA Governing Board must comply with, which include laws that focus on:</w:t>
      </w:r>
    </w:p>
    <w:p w14:paraId="0E728CD3" w14:textId="77777777" w:rsidR="00E7676D" w:rsidRDefault="00E7676D" w:rsidP="00E7676D">
      <w:pPr>
        <w:pStyle w:val="ListParagraph"/>
        <w:numPr>
          <w:ilvl w:val="0"/>
          <w:numId w:val="46"/>
        </w:numPr>
      </w:pPr>
      <w:r>
        <w:t>Accountability and transparency such as the Freedom of Information Act 1982, the Ombudsman Act 1973; and the Protected Disclosure Act 2012.</w:t>
      </w:r>
    </w:p>
    <w:p w14:paraId="5B913A31" w14:textId="77777777" w:rsidR="00E7676D" w:rsidRDefault="00E7676D" w:rsidP="00E7676D">
      <w:pPr>
        <w:pStyle w:val="ListParagraph"/>
        <w:numPr>
          <w:ilvl w:val="0"/>
          <w:numId w:val="46"/>
        </w:numPr>
      </w:pPr>
      <w:r>
        <w:t>Human rights such as the Charter of Human Rights and Responsibilities Act 2006, the Disability Act 2006 and the Equal Opportunity Act 2010.</w:t>
      </w:r>
    </w:p>
    <w:p w14:paraId="6D725BD7" w14:textId="77777777" w:rsidR="00E7676D" w:rsidRDefault="00E7676D" w:rsidP="00E7676D">
      <w:pPr>
        <w:pStyle w:val="ListParagraph"/>
        <w:numPr>
          <w:ilvl w:val="0"/>
          <w:numId w:val="46"/>
        </w:numPr>
      </w:pPr>
      <w:r>
        <w:t>Privacy or good administration such as the Privacy and Data Protection Act 2014 and the Public Records Act 1973.</w:t>
      </w:r>
    </w:p>
    <w:p w14:paraId="573A327A" w14:textId="77777777" w:rsidR="00E7676D" w:rsidRDefault="00E7676D" w:rsidP="00E7676D">
      <w:r>
        <w:t>There is also a range of other Victorian and Commonwealth law and regulations that may affect the entity and must be complied with, for example, occupational health and safety laws.</w:t>
      </w:r>
    </w:p>
    <w:p w14:paraId="6EAF5765" w14:textId="77777777" w:rsidR="00E7676D" w:rsidRDefault="00E7676D" w:rsidP="00E7676D">
      <w:r>
        <w:t>In addition to the above, PLSA Governing Board members perform their role must conduct themselves in a manner that is consistent with:</w:t>
      </w:r>
    </w:p>
    <w:p w14:paraId="57B8BF2B" w14:textId="77777777" w:rsidR="00E7676D" w:rsidRDefault="00E7676D" w:rsidP="00E7676D">
      <w:pPr>
        <w:pStyle w:val="ListParagraph"/>
        <w:numPr>
          <w:ilvl w:val="0"/>
          <w:numId w:val="46"/>
        </w:numPr>
      </w:pPr>
      <w:r>
        <w:t>common law directors’ duties;</w:t>
      </w:r>
    </w:p>
    <w:p w14:paraId="658AA9AA" w14:textId="77777777" w:rsidR="00E7676D" w:rsidRDefault="00E7676D" w:rsidP="00E7676D">
      <w:pPr>
        <w:pStyle w:val="ListParagraph"/>
        <w:numPr>
          <w:ilvl w:val="0"/>
          <w:numId w:val="46"/>
        </w:numPr>
      </w:pPr>
      <w:r>
        <w:t>the public sector values of responsiveness, integrity, impartiality, accountability, respect, leadership and human rights (as set out by section 7 of the Public Administration Act 2004);</w:t>
      </w:r>
    </w:p>
    <w:p w14:paraId="139BBED2" w14:textId="77777777" w:rsidR="00E7676D" w:rsidRDefault="00E7676D" w:rsidP="00E7676D">
      <w:pPr>
        <w:pStyle w:val="ListParagraph"/>
        <w:numPr>
          <w:ilvl w:val="0"/>
          <w:numId w:val="46"/>
        </w:numPr>
      </w:pPr>
      <w:r>
        <w:t>The duties of directors as set out under section 79 of the Public Administration Act 2004; and</w:t>
      </w:r>
    </w:p>
    <w:p w14:paraId="58F42C85" w14:textId="77777777" w:rsidR="00E7676D" w:rsidRDefault="00E7676D" w:rsidP="00E7676D">
      <w:pPr>
        <w:pStyle w:val="ListParagraph"/>
        <w:numPr>
          <w:ilvl w:val="0"/>
          <w:numId w:val="46"/>
        </w:numPr>
      </w:pPr>
      <w:r>
        <w:t>the Director’s Code of Conduct, which requires board members of all public entities to:</w:t>
      </w:r>
    </w:p>
    <w:p w14:paraId="2A5CC6EE" w14:textId="77777777" w:rsidR="00E7676D" w:rsidRDefault="00E7676D" w:rsidP="00E7676D">
      <w:pPr>
        <w:pStyle w:val="ListParagraph"/>
        <w:numPr>
          <w:ilvl w:val="0"/>
          <w:numId w:val="48"/>
        </w:numPr>
      </w:pPr>
      <w:r>
        <w:t>Act with honesty and integrity;</w:t>
      </w:r>
    </w:p>
    <w:p w14:paraId="44485F6B" w14:textId="77777777" w:rsidR="00E7676D" w:rsidRDefault="00E7676D" w:rsidP="00E7676D">
      <w:pPr>
        <w:pStyle w:val="ListParagraph"/>
        <w:numPr>
          <w:ilvl w:val="0"/>
          <w:numId w:val="48"/>
        </w:numPr>
      </w:pPr>
      <w:r>
        <w:t>Act in good faith in the best interests of the public entity;</w:t>
      </w:r>
    </w:p>
    <w:p w14:paraId="2781663D" w14:textId="77777777" w:rsidR="00E7676D" w:rsidRDefault="00E7676D" w:rsidP="00E7676D">
      <w:pPr>
        <w:pStyle w:val="ListParagraph"/>
        <w:numPr>
          <w:ilvl w:val="0"/>
          <w:numId w:val="48"/>
        </w:numPr>
      </w:pPr>
      <w:r>
        <w:t>Act fairly and impartially;</w:t>
      </w:r>
    </w:p>
    <w:p w14:paraId="2A3BE7E3" w14:textId="77777777" w:rsidR="00E7676D" w:rsidRDefault="00E7676D" w:rsidP="00E7676D">
      <w:pPr>
        <w:pStyle w:val="ListParagraph"/>
        <w:numPr>
          <w:ilvl w:val="0"/>
          <w:numId w:val="48"/>
        </w:numPr>
      </w:pPr>
      <w:r>
        <w:t>Use information appropriately;</w:t>
      </w:r>
    </w:p>
    <w:p w14:paraId="573BAC01" w14:textId="77777777" w:rsidR="00E7676D" w:rsidRDefault="00E7676D" w:rsidP="00E7676D">
      <w:pPr>
        <w:pStyle w:val="ListParagraph"/>
        <w:numPr>
          <w:ilvl w:val="0"/>
          <w:numId w:val="48"/>
        </w:numPr>
      </w:pPr>
      <w:r>
        <w:t>Use their position appropriately;</w:t>
      </w:r>
    </w:p>
    <w:p w14:paraId="27429993" w14:textId="77777777" w:rsidR="00E7676D" w:rsidRDefault="00E7676D" w:rsidP="00E7676D">
      <w:pPr>
        <w:pStyle w:val="ListParagraph"/>
        <w:numPr>
          <w:ilvl w:val="0"/>
          <w:numId w:val="48"/>
        </w:numPr>
      </w:pPr>
      <w:r>
        <w:t>Act in a financially responsible manner;</w:t>
      </w:r>
    </w:p>
    <w:p w14:paraId="410A75DE" w14:textId="77777777" w:rsidR="00E7676D" w:rsidRDefault="00E7676D" w:rsidP="00E7676D">
      <w:pPr>
        <w:pStyle w:val="ListParagraph"/>
        <w:numPr>
          <w:ilvl w:val="0"/>
          <w:numId w:val="48"/>
        </w:numPr>
      </w:pPr>
      <w:r>
        <w:t>Exercise due care, diligence and skill;</w:t>
      </w:r>
    </w:p>
    <w:p w14:paraId="49589AD7" w14:textId="77777777" w:rsidR="00E7676D" w:rsidRDefault="00E7676D" w:rsidP="00E7676D">
      <w:pPr>
        <w:pStyle w:val="ListParagraph"/>
        <w:numPr>
          <w:ilvl w:val="0"/>
          <w:numId w:val="48"/>
        </w:numPr>
      </w:pPr>
      <w:r>
        <w:t>Comply with the establishing legislation.</w:t>
      </w:r>
    </w:p>
    <w:p w14:paraId="67391819" w14:textId="77777777" w:rsidR="00E7676D" w:rsidRDefault="00E7676D" w:rsidP="00E7676D">
      <w:pPr>
        <w:pStyle w:val="ListParagraph"/>
        <w:numPr>
          <w:ilvl w:val="0"/>
          <w:numId w:val="48"/>
        </w:numPr>
      </w:pPr>
      <w:r>
        <w:t>Demonstrate leadership and stewardship.</w:t>
      </w:r>
    </w:p>
    <w:p w14:paraId="145E69CD" w14:textId="77777777" w:rsidR="00E7676D" w:rsidRDefault="00E7676D" w:rsidP="00E7676D">
      <w:r>
        <w:t xml:space="preserve">The Director’s Code of Conduct and guidance notes is available at vpsc.vic.gov.au/resources/code-of-conduct-for-directors. </w:t>
      </w:r>
    </w:p>
    <w:p w14:paraId="050D9479" w14:textId="77777777" w:rsidR="00E7676D" w:rsidRDefault="00E7676D" w:rsidP="00E7676D">
      <w:r>
        <w:t>Please note, the Government and its representatives cannot advise candidates on their personal liabilities and responsibilities, which are often complex. Individuals should seek independent legal advice and obtain more detailed information from other sources. More information regarding the roles and responsibilities of a public entity board member can be found by visiting vpsc.vic.gov.au/governance/board-obligations/.</w:t>
      </w:r>
    </w:p>
    <w:p w14:paraId="7505A5DE" w14:textId="77777777" w:rsidR="00E7676D" w:rsidRDefault="00E7676D" w:rsidP="00E7676D">
      <w:pPr>
        <w:pStyle w:val="Heading2"/>
      </w:pPr>
      <w:r>
        <w:lastRenderedPageBreak/>
        <w:t xml:space="preserve">Key Selection Criteria </w:t>
      </w:r>
    </w:p>
    <w:p w14:paraId="772B22D0" w14:textId="77777777" w:rsidR="00016DC1" w:rsidRDefault="00E7676D" w:rsidP="00E7676D">
      <w:r>
        <w:t xml:space="preserve">Applicants for the role will be shortlisted on the basis of high-level skills, experience and knowledge in relation to </w:t>
      </w:r>
    </w:p>
    <w:p w14:paraId="74B93386" w14:textId="7CC3AB8E" w:rsidR="00E7676D" w:rsidRDefault="00E7676D" w:rsidP="001259CB">
      <w:pPr>
        <w:pStyle w:val="ListParagraph"/>
        <w:numPr>
          <w:ilvl w:val="0"/>
          <w:numId w:val="50"/>
        </w:numPr>
      </w:pPr>
      <w:r>
        <w:t xml:space="preserve">Deep knowledge of one or more of the </w:t>
      </w:r>
      <w:r w:rsidR="00016DC1">
        <w:t xml:space="preserve">covered </w:t>
      </w:r>
      <w:r>
        <w:t>sectors;</w:t>
      </w:r>
    </w:p>
    <w:p w14:paraId="7FFAA1DF" w14:textId="7999534E" w:rsidR="00E7676D" w:rsidRPr="00466A07" w:rsidRDefault="00E7676D" w:rsidP="00E7676D">
      <w:pPr>
        <w:pStyle w:val="ListParagraph"/>
        <w:numPr>
          <w:ilvl w:val="0"/>
          <w:numId w:val="46"/>
        </w:numPr>
      </w:pPr>
      <w:r>
        <w:t xml:space="preserve">Demonstrated ability to work collaboratively to represent the needs and interests of </w:t>
      </w:r>
      <w:r w:rsidR="00016DC1">
        <w:t xml:space="preserve">employees for one of </w:t>
      </w:r>
      <w:r>
        <w:t xml:space="preserve">the </w:t>
      </w:r>
      <w:r w:rsidR="00016DC1" w:rsidRPr="001259CB">
        <w:t xml:space="preserve">covered </w:t>
      </w:r>
      <w:r w:rsidRPr="00466A07">
        <w:t>sectors;</w:t>
      </w:r>
    </w:p>
    <w:p w14:paraId="4D20F480" w14:textId="77777777" w:rsidR="00E7676D" w:rsidRDefault="00E7676D" w:rsidP="00E7676D">
      <w:pPr>
        <w:pStyle w:val="ListParagraph"/>
        <w:numPr>
          <w:ilvl w:val="0"/>
          <w:numId w:val="46"/>
        </w:numPr>
      </w:pPr>
      <w:r>
        <w:t>Demonstrated accountability, integrity and honesty;</w:t>
      </w:r>
    </w:p>
    <w:p w14:paraId="0450C286" w14:textId="77777777" w:rsidR="00E7676D" w:rsidRDefault="00E7676D" w:rsidP="00E7676D">
      <w:pPr>
        <w:pStyle w:val="ListParagraph"/>
        <w:numPr>
          <w:ilvl w:val="0"/>
          <w:numId w:val="46"/>
        </w:numPr>
      </w:pPr>
      <w:r>
        <w:t>Demonstrated leadership, strategic thinking and planning;</w:t>
      </w:r>
    </w:p>
    <w:p w14:paraId="29433100" w14:textId="77777777" w:rsidR="00E7676D" w:rsidRDefault="00E7676D" w:rsidP="00E7676D">
      <w:pPr>
        <w:pStyle w:val="ListParagraph"/>
        <w:numPr>
          <w:ilvl w:val="0"/>
          <w:numId w:val="46"/>
        </w:numPr>
      </w:pPr>
      <w:r>
        <w:t>Previous experience as a board member;</w:t>
      </w:r>
    </w:p>
    <w:p w14:paraId="62564D51" w14:textId="77777777" w:rsidR="00E7676D" w:rsidRDefault="00E7676D" w:rsidP="00E7676D">
      <w:pPr>
        <w:pStyle w:val="ListParagraph"/>
        <w:numPr>
          <w:ilvl w:val="0"/>
          <w:numId w:val="46"/>
        </w:numPr>
      </w:pPr>
      <w:r>
        <w:t>Knowledge of industrial relations instruments at the Federal and State level;</w:t>
      </w:r>
    </w:p>
    <w:p w14:paraId="23E107F3" w14:textId="77777777" w:rsidR="00E7676D" w:rsidRDefault="00E7676D" w:rsidP="00E7676D">
      <w:pPr>
        <w:pStyle w:val="ListParagraph"/>
        <w:numPr>
          <w:ilvl w:val="0"/>
          <w:numId w:val="46"/>
        </w:numPr>
      </w:pPr>
      <w:r>
        <w:t>Demonstrated experience in one or more of the following areas - legal practice, finance or accounting, public administration or governance.</w:t>
      </w:r>
    </w:p>
    <w:p w14:paraId="0AFAC1DC" w14:textId="77777777" w:rsidR="00E7676D" w:rsidRDefault="00E7676D" w:rsidP="00E7676D">
      <w:pPr>
        <w:pStyle w:val="Heading4"/>
      </w:pPr>
      <w:r>
        <w:t>Desirable skills and attributes</w:t>
      </w:r>
    </w:p>
    <w:p w14:paraId="50EBBA76" w14:textId="77777777" w:rsidR="00E7676D" w:rsidRDefault="00E7676D" w:rsidP="00E7676D">
      <w:pPr>
        <w:pStyle w:val="ListParagraph"/>
        <w:numPr>
          <w:ilvl w:val="0"/>
          <w:numId w:val="46"/>
        </w:numPr>
      </w:pPr>
      <w:r>
        <w:t>Experience within the financial services sector;</w:t>
      </w:r>
    </w:p>
    <w:p w14:paraId="7E5D1AC7" w14:textId="77777777" w:rsidR="00E7676D" w:rsidRDefault="00E7676D" w:rsidP="00E7676D">
      <w:pPr>
        <w:pStyle w:val="ListParagraph"/>
        <w:numPr>
          <w:ilvl w:val="0"/>
          <w:numId w:val="46"/>
        </w:numPr>
      </w:pPr>
      <w:r>
        <w:t>Experience in the administration of funds and investments, risk management, stakeholder management, community engagement.</w:t>
      </w:r>
    </w:p>
    <w:p w14:paraId="54D9434C" w14:textId="77777777" w:rsidR="00E7676D" w:rsidRDefault="00E7676D" w:rsidP="00E7676D">
      <w:pPr>
        <w:pStyle w:val="Heading2"/>
      </w:pPr>
      <w:r>
        <w:t>Information about relevant Government policies</w:t>
      </w:r>
    </w:p>
    <w:p w14:paraId="2DF78FF4" w14:textId="77777777" w:rsidR="00E7676D" w:rsidRDefault="00E7676D" w:rsidP="00E7676D">
      <w:r>
        <w:t>The Victorian Government’s Appointment and Remuneration Guidelines outline relevant policies in relation to board and committee membership which includes the following:</w:t>
      </w:r>
    </w:p>
    <w:p w14:paraId="0D5A5936" w14:textId="77777777" w:rsidR="00E7676D" w:rsidRDefault="00E7676D" w:rsidP="00E7676D">
      <w:pPr>
        <w:pStyle w:val="Heading4"/>
      </w:pPr>
      <w:r>
        <w:t>Representation of women</w:t>
      </w:r>
    </w:p>
    <w:p w14:paraId="5E1D30BA" w14:textId="77777777" w:rsidR="00E7676D" w:rsidRDefault="00E7676D" w:rsidP="00E7676D">
      <w:r>
        <w:t>Government policy requires that no less than 50 per cent of all new appointments to paid Victorian Government boards are women.</w:t>
      </w:r>
    </w:p>
    <w:p w14:paraId="20E32DAF" w14:textId="77777777" w:rsidR="00E7676D" w:rsidRDefault="00E7676D" w:rsidP="00E7676D">
      <w:pPr>
        <w:pStyle w:val="Heading4"/>
      </w:pPr>
      <w:r>
        <w:t>Encouraging Diversity</w:t>
      </w:r>
    </w:p>
    <w:p w14:paraId="465C4B72" w14:textId="77777777" w:rsidR="00E7676D" w:rsidRDefault="00E7676D" w:rsidP="00E7676D">
      <w:r>
        <w:t>The Victorian Government is committed to ensuring that government boards and committees reflect the rich diversity of the Victorian community.</w:t>
      </w:r>
    </w:p>
    <w:p w14:paraId="30DCD885" w14:textId="5A61BBCA" w:rsidR="00B04E6A" w:rsidRDefault="00E7676D" w:rsidP="00E7676D">
      <w:r>
        <w:t>We encourage applications from people of all ages, Aboriginal people, people with disability, people from culturally and linguistically diverse backgrounds and from lesbian, gay, bisexual, trans, gender diverse and intersex people</w:t>
      </w:r>
      <w:r w:rsidR="00B04E6A">
        <w:t>, and people who live in rural or regional areas</w:t>
      </w:r>
      <w:r>
        <w:t xml:space="preserve">. </w:t>
      </w:r>
      <w:r w:rsidR="00B04E6A">
        <w:t>Should you require any adjustments, we are happy to provide them upon request.</w:t>
      </w:r>
    </w:p>
    <w:p w14:paraId="3C7FEE36" w14:textId="77777777" w:rsidR="00E7676D" w:rsidRDefault="00E7676D" w:rsidP="00E7676D">
      <w:pPr>
        <w:pStyle w:val="Heading4"/>
      </w:pPr>
      <w:r>
        <w:t>Reappointment</w:t>
      </w:r>
    </w:p>
    <w:p w14:paraId="12E25075" w14:textId="77777777" w:rsidR="00E7676D" w:rsidRDefault="00E7676D" w:rsidP="00E7676D">
      <w:r>
        <w:t>It is preferred that candidates being considered for reappointment undergo the same selection process as candidates who have not served on the board.</w:t>
      </w:r>
    </w:p>
    <w:p w14:paraId="0F354CE2" w14:textId="77777777" w:rsidR="00E7676D" w:rsidRDefault="00E7676D" w:rsidP="00E7676D">
      <w:pPr>
        <w:pStyle w:val="Heading4"/>
      </w:pPr>
      <w:r>
        <w:t>Multiple boards</w:t>
      </w:r>
    </w:p>
    <w:p w14:paraId="0AD32C4F" w14:textId="77777777" w:rsidR="00E7676D" w:rsidRDefault="00E7676D" w:rsidP="00E7676D">
      <w:r>
        <w:t>An individual should not hold more than three board positions at any one time.</w:t>
      </w:r>
    </w:p>
    <w:p w14:paraId="62577AA2" w14:textId="77777777" w:rsidR="00E7676D" w:rsidRDefault="00E7676D" w:rsidP="00E7676D">
      <w:pPr>
        <w:pStyle w:val="Heading2"/>
      </w:pPr>
      <w:r>
        <w:t>How to apply</w:t>
      </w:r>
    </w:p>
    <w:p w14:paraId="510891EF" w14:textId="77777777" w:rsidR="00E7676D" w:rsidRDefault="00E7676D" w:rsidP="00E7676D">
      <w:r>
        <w:t xml:space="preserve">Applicants can apply online via the Get on Board website at vacancies.publicboards.vic.gov.au (under ‘Search Current Vacancies’) and complete the following steps: </w:t>
      </w:r>
    </w:p>
    <w:p w14:paraId="50D36C0B" w14:textId="77777777" w:rsidR="00E7676D" w:rsidRDefault="00E7676D" w:rsidP="00E7676D">
      <w:pPr>
        <w:pStyle w:val="ListParagraph"/>
        <w:numPr>
          <w:ilvl w:val="0"/>
          <w:numId w:val="49"/>
        </w:numPr>
      </w:pPr>
      <w:r>
        <w:lastRenderedPageBreak/>
        <w:t>register an account on the Get On Board website prior to applying online. Once you have registered an account with Get on Board, please click the apply online button on the vacancy page;</w:t>
      </w:r>
    </w:p>
    <w:p w14:paraId="59E4C340" w14:textId="77777777" w:rsidR="00E7676D" w:rsidRDefault="00E7676D" w:rsidP="00E7676D">
      <w:pPr>
        <w:pStyle w:val="ListParagraph"/>
        <w:numPr>
          <w:ilvl w:val="0"/>
          <w:numId w:val="49"/>
        </w:numPr>
      </w:pPr>
      <w:r>
        <w:t>download and read this position description as well as the ‘Information for Applicants’ document before applying;</w:t>
      </w:r>
    </w:p>
    <w:p w14:paraId="3823659D" w14:textId="77777777" w:rsidR="00E7676D" w:rsidRDefault="00E7676D" w:rsidP="00E7676D">
      <w:pPr>
        <w:pStyle w:val="ListParagraph"/>
        <w:numPr>
          <w:ilvl w:val="0"/>
          <w:numId w:val="49"/>
        </w:numPr>
      </w:pPr>
      <w:r>
        <w:t xml:space="preserve">upload a current curriculum vitae with their application; </w:t>
      </w:r>
    </w:p>
    <w:p w14:paraId="40FDF913" w14:textId="77777777" w:rsidR="00E7676D" w:rsidRDefault="00E7676D" w:rsidP="00E7676D">
      <w:pPr>
        <w:pStyle w:val="ListParagraph"/>
        <w:numPr>
          <w:ilvl w:val="0"/>
          <w:numId w:val="49"/>
        </w:numPr>
      </w:pPr>
      <w:r>
        <w:t>complete the questionnaire to outline their relevant skills, experience and knowledge in relation to the key selection criteria.</w:t>
      </w:r>
    </w:p>
    <w:p w14:paraId="6A491ADA" w14:textId="77777777" w:rsidR="00E7676D" w:rsidRDefault="00E7676D" w:rsidP="00E7676D">
      <w:r>
        <w:t>If shortlisted, all applicants will be required to undertake probity checks.</w:t>
      </w:r>
    </w:p>
    <w:p w14:paraId="11980BF1" w14:textId="4E831D13" w:rsidR="00E7676D" w:rsidRPr="00164F6A" w:rsidRDefault="00E7676D" w:rsidP="00E7676D">
      <w:pPr>
        <w:rPr>
          <w:b/>
          <w:bCs/>
          <w:u w:val="single"/>
        </w:rPr>
      </w:pPr>
      <w:r w:rsidRPr="00164F6A">
        <w:rPr>
          <w:b/>
          <w:bCs/>
        </w:rPr>
        <w:t xml:space="preserve">For more information, please contact </w:t>
      </w:r>
      <w:r>
        <w:rPr>
          <w:b/>
        </w:rPr>
        <w:t>Kate Bugeja</w:t>
      </w:r>
      <w:r w:rsidRPr="009B4D9F">
        <w:rPr>
          <w:b/>
        </w:rPr>
        <w:t>,</w:t>
      </w:r>
      <w:r>
        <w:rPr>
          <w:b/>
        </w:rPr>
        <w:t xml:space="preserve"> Director – Fair Work,</w:t>
      </w:r>
      <w:r w:rsidRPr="009B4D9F">
        <w:rPr>
          <w:b/>
        </w:rPr>
        <w:t xml:space="preserve"> Industrial Relations Victoria</w:t>
      </w:r>
      <w:r>
        <w:rPr>
          <w:b/>
        </w:rPr>
        <w:t xml:space="preserve"> at kate.bugeja@dtf.vic.gov.au</w:t>
      </w:r>
    </w:p>
    <w:p w14:paraId="110EE1DD" w14:textId="29AB5237" w:rsidR="00E7676D" w:rsidRPr="00164F6A" w:rsidRDefault="00E7676D" w:rsidP="00E7676D">
      <w:pPr>
        <w:rPr>
          <w:b/>
          <w:bCs/>
        </w:rPr>
      </w:pPr>
      <w:r>
        <w:rPr>
          <w:b/>
          <w:bCs/>
        </w:rPr>
        <w:t>A</w:t>
      </w:r>
      <w:r w:rsidRPr="00164F6A">
        <w:rPr>
          <w:b/>
          <w:bCs/>
        </w:rPr>
        <w:t xml:space="preserve">pplications must be submitted via </w:t>
      </w:r>
      <w:r w:rsidRPr="0047062D">
        <w:rPr>
          <w:b/>
          <w:bCs/>
        </w:rPr>
        <w:t xml:space="preserve">the Join a Public Board website by 11.59pm on </w:t>
      </w:r>
      <w:r w:rsidR="0047062D" w:rsidRPr="0047062D">
        <w:rPr>
          <w:b/>
          <w:bCs/>
        </w:rPr>
        <w:t>10</w:t>
      </w:r>
      <w:r w:rsidR="0047062D" w:rsidRPr="0047062D">
        <w:rPr>
          <w:b/>
          <w:bCs/>
        </w:rPr>
        <w:t xml:space="preserve"> </w:t>
      </w:r>
      <w:r w:rsidR="00894915" w:rsidRPr="0047062D">
        <w:rPr>
          <w:b/>
          <w:bCs/>
        </w:rPr>
        <w:t xml:space="preserve">December </w:t>
      </w:r>
      <w:r w:rsidRPr="0047062D">
        <w:rPr>
          <w:b/>
          <w:bCs/>
        </w:rPr>
        <w:t>2025.</w:t>
      </w:r>
      <w:r w:rsidRPr="00164F6A">
        <w:rPr>
          <w:b/>
          <w:bCs/>
        </w:rPr>
        <w:t xml:space="preserve"> </w:t>
      </w:r>
    </w:p>
    <w:p w14:paraId="02FB8F70" w14:textId="1F085043" w:rsidR="00E7676D" w:rsidRPr="001259CB" w:rsidRDefault="00E7676D" w:rsidP="00E7676D">
      <w:pPr>
        <w:rPr>
          <w:b/>
          <w:bCs/>
        </w:rPr>
      </w:pPr>
      <w:r w:rsidRPr="001259CB">
        <w:rPr>
          <w:b/>
          <w:bCs/>
        </w:rPr>
        <w:t xml:space="preserve">To be considered for appointment as an ordinary Board member, applicants must include a letter from an appropriate organisation </w:t>
      </w:r>
      <w:r w:rsidR="0047062D">
        <w:rPr>
          <w:b/>
          <w:bCs/>
        </w:rPr>
        <w:t xml:space="preserve">of </w:t>
      </w:r>
      <w:r w:rsidRPr="001259CB">
        <w:rPr>
          <w:b/>
          <w:bCs/>
        </w:rPr>
        <w:t xml:space="preserve">employees supporting their nomination. An applicant is not required to be an officer or employee of the organisation making the nomination. </w:t>
      </w:r>
    </w:p>
    <w:p w14:paraId="07BA7F5A" w14:textId="77777777" w:rsidR="00E7676D" w:rsidRDefault="00E7676D" w:rsidP="00E7676D">
      <w:pPr>
        <w:pStyle w:val="Heading2"/>
      </w:pPr>
      <w:r>
        <w:t>Further information</w:t>
      </w:r>
    </w:p>
    <w:p w14:paraId="18B45400" w14:textId="77777777" w:rsidR="00E7676D" w:rsidRDefault="00E7676D" w:rsidP="00E7676D">
      <w:r>
        <w:t>A number of resources are available which may assist applicants in understanding the requirements of the role of a board member and the public sector environment.</w:t>
      </w:r>
    </w:p>
    <w:p w14:paraId="5907463A" w14:textId="77777777" w:rsidR="00E7676D" w:rsidRDefault="00E7676D" w:rsidP="00E7676D">
      <w:pPr>
        <w:pStyle w:val="ListParagraph"/>
        <w:numPr>
          <w:ilvl w:val="0"/>
          <w:numId w:val="49"/>
        </w:numPr>
      </w:pPr>
      <w:r>
        <w:t xml:space="preserve">The Victorian Public Sector Commission’s website provides further governance and policy information for candidates and public sector board members at </w:t>
      </w:r>
      <w:hyperlink r:id="rId10" w:history="1">
        <w:r w:rsidRPr="00507919">
          <w:rPr>
            <w:rStyle w:val="Hyperlink"/>
          </w:rPr>
          <w:t>www.vpsc.vic.gov.au</w:t>
        </w:r>
      </w:hyperlink>
      <w:r>
        <w:t>.</w:t>
      </w:r>
    </w:p>
    <w:p w14:paraId="071DFF8B" w14:textId="77777777" w:rsidR="00E7676D" w:rsidRDefault="00E7676D" w:rsidP="00E7676D">
      <w:pPr>
        <w:pStyle w:val="ListParagraph"/>
        <w:numPr>
          <w:ilvl w:val="0"/>
          <w:numId w:val="49"/>
        </w:numPr>
      </w:pPr>
      <w:r>
        <w:t>The Appointment and Remuneration Guidelines outline the standard processes and principles for appointing and remunerating board members of non-departmental entities in Victoria at www.dpc.vic.gov.au/index.php/policies/governance/appointment-and-remuneration-guidelines.</w:t>
      </w:r>
    </w:p>
    <w:p w14:paraId="24E138D6" w14:textId="77777777" w:rsidR="00E7676D" w:rsidRDefault="00E7676D" w:rsidP="00E7676D">
      <w:r>
        <w:t>Board directors working together under the guidance of the Chairperson, make strategic and operational decisions in the best interests of the entity. Board directors are expected to actively contribute to board decisions, applying their specialist skills and experience.</w:t>
      </w:r>
    </w:p>
    <w:p w14:paraId="6F4E2C33" w14:textId="77777777" w:rsidR="00E7676D" w:rsidRDefault="00E7676D" w:rsidP="00E7676D">
      <w:r>
        <w:t>In fulfilling their duties, board directors must follow strict behaviour requirements and demonstrate integrity at all times. They must avoid actual and perceived conflicts of interest in the completion of their duties and comply with disclosure requirements.</w:t>
      </w:r>
    </w:p>
    <w:p w14:paraId="2502A527" w14:textId="77777777" w:rsidR="00E7676D" w:rsidRDefault="00E7676D" w:rsidP="00E7676D">
      <w:r>
        <w:t>Specific behaviours of board directors are mandated in the interests of accountability and transparency. Section 79 of the Public Administration Act 2004 sets out the minimum requirements for the behaviour of a board director.</w:t>
      </w:r>
    </w:p>
    <w:p w14:paraId="7186901F" w14:textId="77777777" w:rsidR="00E7676D" w:rsidRDefault="00E7676D" w:rsidP="00E7676D">
      <w:r>
        <w:t>The Government and its representatives cannot advise candidates on their personal liabilities and responsibilities which are often complex. Individuals should seek independent legal advice and obtain more detailed information from other sources. More information can be found at vpsc.vic.gov.au/.</w:t>
      </w:r>
    </w:p>
    <w:p w14:paraId="5253F5FD" w14:textId="77777777" w:rsidR="00E7676D" w:rsidRPr="00D8080D" w:rsidRDefault="00E7676D" w:rsidP="00E7676D">
      <w:pPr>
        <w:pStyle w:val="Heading4"/>
      </w:pPr>
      <w:r w:rsidRPr="00D8080D">
        <w:t>Privacy and Probity</w:t>
      </w:r>
    </w:p>
    <w:p w14:paraId="7A10C725" w14:textId="4139A9E9" w:rsidR="00E7676D" w:rsidRDefault="00E7676D" w:rsidP="00E7676D">
      <w:r>
        <w:t xml:space="preserve">The Department of </w:t>
      </w:r>
      <w:r w:rsidR="00466A07">
        <w:t xml:space="preserve">Treasury and Finance </w:t>
      </w:r>
      <w:r>
        <w:t>affirms that the collection and handling of applications and personal information will be consistent with the requirements of the Privacy and Data Protection Act 2014.</w:t>
      </w:r>
    </w:p>
    <w:p w14:paraId="70B4C748" w14:textId="77777777" w:rsidR="00E7676D" w:rsidRDefault="00E7676D" w:rsidP="00E7676D">
      <w:r>
        <w:lastRenderedPageBreak/>
        <w:t>To receive this document in an accessible format, please contact the Recruitment Team on 7017 3337, using the National Relay Service 13 36 77 if required (for more information visit www.relayservice.gov.au).</w:t>
      </w:r>
    </w:p>
    <w:p w14:paraId="624E0446" w14:textId="77777777" w:rsidR="00E7676D" w:rsidRPr="00EC6F63" w:rsidRDefault="00E7676D" w:rsidP="00E7676D"/>
    <w:bookmarkEnd w:id="0"/>
    <w:p w14:paraId="6606D9A7" w14:textId="77777777" w:rsidR="00E7676D" w:rsidRPr="00224B9D" w:rsidRDefault="00E7676D" w:rsidP="00E7676D"/>
    <w:p w14:paraId="5EFEAD8D" w14:textId="77777777" w:rsidR="00934B60" w:rsidRPr="00E7676D" w:rsidRDefault="00934B60" w:rsidP="00E7676D"/>
    <w:sectPr w:rsidR="00934B60" w:rsidRPr="00E7676D" w:rsidSect="00934B60">
      <w:headerReference w:type="default" r:id="rId11"/>
      <w:footerReference w:type="default" r:id="rId12"/>
      <w:headerReference w:type="first" r:id="rId13"/>
      <w:pgSz w:w="11906" w:h="16838" w:code="9"/>
      <w:pgMar w:top="2160" w:right="1440" w:bottom="1728"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9EDB" w14:textId="77777777" w:rsidR="009110D4" w:rsidRDefault="009110D4" w:rsidP="002D711A">
      <w:pPr>
        <w:spacing w:after="0" w:line="240" w:lineRule="auto"/>
      </w:pPr>
      <w:r>
        <w:separator/>
      </w:r>
    </w:p>
  </w:endnote>
  <w:endnote w:type="continuationSeparator" w:id="0">
    <w:p w14:paraId="01FB30F8" w14:textId="77777777" w:rsidR="009110D4" w:rsidRDefault="009110D4"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DCE1" w14:textId="2295A5CC" w:rsidR="00934B60" w:rsidRDefault="00934B60" w:rsidP="008E49B3">
    <w:pPr>
      <w:pStyle w:val="Footer"/>
      <w:rPr>
        <w:rStyle w:val="PageNumber"/>
      </w:rPr>
    </w:pPr>
    <w:r w:rsidRPr="008E49B3">
      <w:rPr>
        <w:b/>
        <w:noProof w:val="0"/>
      </w:rPr>
      <w:fldChar w:fldCharType="begin"/>
    </w:r>
    <w:r w:rsidRPr="008E49B3">
      <w:rPr>
        <w:b/>
      </w:rPr>
      <w:instrText xml:space="preserve"> StyleRef “Title” </w:instrText>
    </w:r>
    <w:r w:rsidRPr="008E49B3">
      <w:rPr>
        <w:b/>
        <w:noProof w:val="0"/>
      </w:rPr>
      <w:fldChar w:fldCharType="separate"/>
    </w:r>
    <w:r w:rsidR="0047062D">
      <w:rPr>
        <w:bCs/>
        <w:lang w:val="en-US"/>
      </w:rPr>
      <w:t>Error! No text of specified style in document.</w:t>
    </w:r>
    <w:r w:rsidRPr="008E49B3">
      <w:rPr>
        <w:b/>
      </w:rPr>
      <w:fldChar w:fldCharType="end"/>
    </w:r>
    <w:r w:rsidRPr="008E49B3">
      <w:rPr>
        <w:b/>
      </w:rPr>
      <w:t xml:space="preserve"> </w:t>
    </w:r>
    <w:r w:rsidRPr="008E49B3">
      <w:rPr>
        <w:noProof w:val="0"/>
      </w:rPr>
      <w:fldChar w:fldCharType="begin"/>
    </w:r>
    <w:r w:rsidRPr="008E49B3">
      <w:instrText xml:space="preserve"> StyleRef “Subtitle” </w:instrText>
    </w:r>
    <w:r w:rsidRPr="008E49B3">
      <w:rPr>
        <w:noProof w:val="0"/>
      </w:rPr>
      <w:fldChar w:fldCharType="separate"/>
    </w:r>
    <w:r w:rsidR="0047062D">
      <w:rPr>
        <w:b/>
        <w:bCs/>
        <w:lang w:val="en-US"/>
      </w:rPr>
      <w:t>Error! No text of specified style in document.</w:t>
    </w:r>
    <w:r w:rsidRPr="008E49B3">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526F910F" w14:textId="77777777" w:rsidR="00934B60" w:rsidRPr="00C022F9" w:rsidRDefault="00934B60" w:rsidP="008E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C94A" w14:textId="77777777" w:rsidR="009110D4" w:rsidRDefault="009110D4" w:rsidP="002D711A">
      <w:pPr>
        <w:spacing w:after="0" w:line="240" w:lineRule="auto"/>
      </w:pPr>
      <w:r>
        <w:separator/>
      </w:r>
    </w:p>
  </w:footnote>
  <w:footnote w:type="continuationSeparator" w:id="0">
    <w:p w14:paraId="594FD793" w14:textId="77777777" w:rsidR="009110D4" w:rsidRDefault="009110D4" w:rsidP="002D711A">
      <w:pPr>
        <w:spacing w:after="0" w:line="240" w:lineRule="auto"/>
      </w:pPr>
      <w:r>
        <w:continuationSeparator/>
      </w:r>
    </w:p>
  </w:footnote>
  <w:footnote w:type="continuationNotice" w:id="1">
    <w:p w14:paraId="1F47CB84" w14:textId="77777777" w:rsidR="009110D4" w:rsidRDefault="009110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F438" w14:textId="77777777" w:rsidR="00934B60" w:rsidRPr="0041689E" w:rsidRDefault="00934B60">
    <w:pPr>
      <w:pStyle w:val="Header"/>
    </w:pPr>
    <w:r>
      <w:rPr>
        <w:noProof/>
      </w:rPr>
      <mc:AlternateContent>
        <mc:Choice Requires="wpg">
          <w:drawing>
            <wp:anchor distT="0" distB="0" distL="114300" distR="114300" simplePos="0" relativeHeight="251680768" behindDoc="0" locked="0" layoutInCell="1" allowOverlap="1" wp14:anchorId="053FDAB3" wp14:editId="7DB5B3DB">
              <wp:simplePos x="0" y="0"/>
              <wp:positionH relativeFrom="page">
                <wp:align>left</wp:align>
              </wp:positionH>
              <wp:positionV relativeFrom="page">
                <wp:align>top</wp:align>
              </wp:positionV>
              <wp:extent cx="7598664" cy="978408"/>
              <wp:effectExtent l="0" t="0" r="2540" b="0"/>
              <wp:wrapNone/>
              <wp:docPr id="32"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3CF450" id="Page banner" o:spid="_x0000_s1026" alt="&quot;&quot;" style="position:absolute;margin-left:0;margin-top:0;width:598.3pt;height:77.05pt;z-index:251680768;mso-position-horizontal:left;mso-position-horizontal-relative:page;mso-position-vertical:top;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F5A6" w14:textId="77777777" w:rsidR="00934B60" w:rsidRDefault="00934B60">
    <w:pPr>
      <w:pStyle w:val="Header"/>
    </w:pPr>
    <w:r>
      <w:rPr>
        <w:noProof/>
      </w:rPr>
      <mc:AlternateContent>
        <mc:Choice Requires="wpg">
          <w:drawing>
            <wp:anchor distT="0" distB="0" distL="114300" distR="114300" simplePos="0" relativeHeight="251676672" behindDoc="0" locked="0" layoutInCell="1" allowOverlap="1" wp14:anchorId="3EC1C68E" wp14:editId="2AEB01F1">
              <wp:simplePos x="0" y="0"/>
              <wp:positionH relativeFrom="page">
                <wp:posOffset>0</wp:posOffset>
              </wp:positionH>
              <wp:positionV relativeFrom="page">
                <wp:posOffset>0</wp:posOffset>
              </wp:positionV>
              <wp:extent cx="7598664" cy="978408"/>
              <wp:effectExtent l="0" t="0" r="2540" b="0"/>
              <wp:wrapNone/>
              <wp:docPr id="2"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A05B75" id="Page banner" o:spid="_x0000_s1026" alt="&quot;&quot;" style="position:absolute;margin-left:0;margin-top:0;width:598.3pt;height:77.05pt;z-index:251676672;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EB01C9"/>
    <w:multiLevelType w:val="hybridMultilevel"/>
    <w:tmpl w:val="1A88173A"/>
    <w:lvl w:ilvl="0" w:tplc="D4DEC5D6">
      <w:start w:val="4"/>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11E1AB0"/>
    <w:multiLevelType w:val="hybridMultilevel"/>
    <w:tmpl w:val="EB4A0850"/>
    <w:lvl w:ilvl="0" w:tplc="9768E230">
      <w:start w:val="4"/>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5" w15:restartNumberingAfterBreak="0">
    <w:nsid w:val="531B7F61"/>
    <w:multiLevelType w:val="hybridMultilevel"/>
    <w:tmpl w:val="057CCBB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AD452B7"/>
    <w:multiLevelType w:val="hybridMultilevel"/>
    <w:tmpl w:val="DE3AD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254DA1"/>
    <w:multiLevelType w:val="hybridMultilevel"/>
    <w:tmpl w:val="ADDE9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439760599">
    <w:abstractNumId w:val="4"/>
  </w:num>
  <w:num w:numId="2" w16cid:durableId="1132753090">
    <w:abstractNumId w:val="4"/>
  </w:num>
  <w:num w:numId="3" w16cid:durableId="783962057">
    <w:abstractNumId w:val="4"/>
  </w:num>
  <w:num w:numId="4" w16cid:durableId="1395616159">
    <w:abstractNumId w:val="10"/>
  </w:num>
  <w:num w:numId="5" w16cid:durableId="1505170117">
    <w:abstractNumId w:val="4"/>
  </w:num>
  <w:num w:numId="6" w16cid:durableId="555630298">
    <w:abstractNumId w:val="4"/>
  </w:num>
  <w:num w:numId="7" w16cid:durableId="1963920248">
    <w:abstractNumId w:val="4"/>
  </w:num>
  <w:num w:numId="8" w16cid:durableId="429086653">
    <w:abstractNumId w:val="4"/>
  </w:num>
  <w:num w:numId="9" w16cid:durableId="529415416">
    <w:abstractNumId w:val="10"/>
  </w:num>
  <w:num w:numId="10" w16cid:durableId="1441757371">
    <w:abstractNumId w:val="10"/>
  </w:num>
  <w:num w:numId="11" w16cid:durableId="2132168695">
    <w:abstractNumId w:val="10"/>
  </w:num>
  <w:num w:numId="12" w16cid:durableId="99449534">
    <w:abstractNumId w:val="10"/>
  </w:num>
  <w:num w:numId="13" w16cid:durableId="46950944">
    <w:abstractNumId w:val="10"/>
  </w:num>
  <w:num w:numId="14" w16cid:durableId="710347217">
    <w:abstractNumId w:val="10"/>
  </w:num>
  <w:num w:numId="15" w16cid:durableId="1139424165">
    <w:abstractNumId w:val="10"/>
  </w:num>
  <w:num w:numId="16" w16cid:durableId="867062164">
    <w:abstractNumId w:val="10"/>
  </w:num>
  <w:num w:numId="17" w16cid:durableId="1999115917">
    <w:abstractNumId w:val="1"/>
  </w:num>
  <w:num w:numId="18" w16cid:durableId="1184898169">
    <w:abstractNumId w:val="1"/>
  </w:num>
  <w:num w:numId="19" w16cid:durableId="689339301">
    <w:abstractNumId w:val="9"/>
  </w:num>
  <w:num w:numId="20" w16cid:durableId="1862013268">
    <w:abstractNumId w:val="8"/>
  </w:num>
  <w:num w:numId="21" w16cid:durableId="125054774">
    <w:abstractNumId w:val="0"/>
  </w:num>
  <w:num w:numId="22" w16cid:durableId="1034816705">
    <w:abstractNumId w:val="0"/>
  </w:num>
  <w:num w:numId="23" w16cid:durableId="354355399">
    <w:abstractNumId w:val="0"/>
  </w:num>
  <w:num w:numId="24" w16cid:durableId="1812599202">
    <w:abstractNumId w:val="9"/>
  </w:num>
  <w:num w:numId="25" w16cid:durableId="250237395">
    <w:abstractNumId w:val="10"/>
  </w:num>
  <w:num w:numId="26" w16cid:durableId="202444581">
    <w:abstractNumId w:val="1"/>
  </w:num>
  <w:num w:numId="27" w16cid:durableId="1657421234">
    <w:abstractNumId w:val="1"/>
  </w:num>
  <w:num w:numId="28" w16cid:durableId="817844137">
    <w:abstractNumId w:val="4"/>
  </w:num>
  <w:num w:numId="29" w16cid:durableId="1856187514">
    <w:abstractNumId w:val="4"/>
  </w:num>
  <w:num w:numId="30" w16cid:durableId="2043438545">
    <w:abstractNumId w:val="4"/>
  </w:num>
  <w:num w:numId="31" w16cid:durableId="1593202281">
    <w:abstractNumId w:val="4"/>
  </w:num>
  <w:num w:numId="32" w16cid:durableId="56248957">
    <w:abstractNumId w:val="10"/>
  </w:num>
  <w:num w:numId="33" w16cid:durableId="1498109862">
    <w:abstractNumId w:val="10"/>
  </w:num>
  <w:num w:numId="34" w16cid:durableId="98136825">
    <w:abstractNumId w:val="10"/>
  </w:num>
  <w:num w:numId="35" w16cid:durableId="1813329296">
    <w:abstractNumId w:val="10"/>
  </w:num>
  <w:num w:numId="36" w16cid:durableId="1456096521">
    <w:abstractNumId w:val="10"/>
  </w:num>
  <w:num w:numId="37" w16cid:durableId="464540368">
    <w:abstractNumId w:val="10"/>
  </w:num>
  <w:num w:numId="38" w16cid:durableId="880441602">
    <w:abstractNumId w:val="10"/>
  </w:num>
  <w:num w:numId="39" w16cid:durableId="42559561">
    <w:abstractNumId w:val="10"/>
  </w:num>
  <w:num w:numId="40" w16cid:durableId="1172722787">
    <w:abstractNumId w:val="9"/>
  </w:num>
  <w:num w:numId="41" w16cid:durableId="1734700060">
    <w:abstractNumId w:val="10"/>
  </w:num>
  <w:num w:numId="42" w16cid:durableId="1397587555">
    <w:abstractNumId w:val="1"/>
  </w:num>
  <w:num w:numId="43" w16cid:durableId="1510681575">
    <w:abstractNumId w:val="1"/>
  </w:num>
  <w:num w:numId="44" w16cid:durableId="1439369713">
    <w:abstractNumId w:val="1"/>
  </w:num>
  <w:num w:numId="45" w16cid:durableId="2040664023">
    <w:abstractNumId w:val="1"/>
  </w:num>
  <w:num w:numId="46" w16cid:durableId="273055317">
    <w:abstractNumId w:val="3"/>
  </w:num>
  <w:num w:numId="47" w16cid:durableId="2083795916">
    <w:abstractNumId w:val="5"/>
  </w:num>
  <w:num w:numId="48" w16cid:durableId="1138762116">
    <w:abstractNumId w:val="2"/>
  </w:num>
  <w:num w:numId="49" w16cid:durableId="1367677879">
    <w:abstractNumId w:val="7"/>
  </w:num>
  <w:num w:numId="50" w16cid:durableId="44520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6D"/>
    <w:rsid w:val="00012F6F"/>
    <w:rsid w:val="00014213"/>
    <w:rsid w:val="00014B55"/>
    <w:rsid w:val="00016DC1"/>
    <w:rsid w:val="00020E3E"/>
    <w:rsid w:val="00023BF3"/>
    <w:rsid w:val="00026811"/>
    <w:rsid w:val="00030708"/>
    <w:rsid w:val="00040EC1"/>
    <w:rsid w:val="00043296"/>
    <w:rsid w:val="0004356D"/>
    <w:rsid w:val="00045296"/>
    <w:rsid w:val="00072A2A"/>
    <w:rsid w:val="00075E6C"/>
    <w:rsid w:val="00090171"/>
    <w:rsid w:val="000B29AD"/>
    <w:rsid w:val="000B5CFD"/>
    <w:rsid w:val="000C6372"/>
    <w:rsid w:val="000D593F"/>
    <w:rsid w:val="000E392D"/>
    <w:rsid w:val="000F4288"/>
    <w:rsid w:val="000F7165"/>
    <w:rsid w:val="00102379"/>
    <w:rsid w:val="001065D6"/>
    <w:rsid w:val="00121252"/>
    <w:rsid w:val="00124609"/>
    <w:rsid w:val="001254CE"/>
    <w:rsid w:val="001259CB"/>
    <w:rsid w:val="00126AF9"/>
    <w:rsid w:val="00134CEA"/>
    <w:rsid w:val="001422CC"/>
    <w:rsid w:val="0015160D"/>
    <w:rsid w:val="001617B6"/>
    <w:rsid w:val="00165E66"/>
    <w:rsid w:val="001A3DD1"/>
    <w:rsid w:val="001C7BAE"/>
    <w:rsid w:val="001D261F"/>
    <w:rsid w:val="001D717E"/>
    <w:rsid w:val="001E31FA"/>
    <w:rsid w:val="001E64F6"/>
    <w:rsid w:val="00200BB3"/>
    <w:rsid w:val="00222BEB"/>
    <w:rsid w:val="00225E60"/>
    <w:rsid w:val="00227C39"/>
    <w:rsid w:val="0023202C"/>
    <w:rsid w:val="00236203"/>
    <w:rsid w:val="00245043"/>
    <w:rsid w:val="00257760"/>
    <w:rsid w:val="00292D36"/>
    <w:rsid w:val="00297281"/>
    <w:rsid w:val="002C54E0"/>
    <w:rsid w:val="002D711A"/>
    <w:rsid w:val="002D7336"/>
    <w:rsid w:val="002E3396"/>
    <w:rsid w:val="0031149C"/>
    <w:rsid w:val="00313BAD"/>
    <w:rsid w:val="00330A9A"/>
    <w:rsid w:val="0038771C"/>
    <w:rsid w:val="00392A8F"/>
    <w:rsid w:val="0039405B"/>
    <w:rsid w:val="003A1C92"/>
    <w:rsid w:val="003A541A"/>
    <w:rsid w:val="003A6923"/>
    <w:rsid w:val="003C2C67"/>
    <w:rsid w:val="003C2EA2"/>
    <w:rsid w:val="003C5BA4"/>
    <w:rsid w:val="003D42D5"/>
    <w:rsid w:val="003E3E26"/>
    <w:rsid w:val="003F1295"/>
    <w:rsid w:val="003F76FC"/>
    <w:rsid w:val="004002EB"/>
    <w:rsid w:val="00405C57"/>
    <w:rsid w:val="0041689E"/>
    <w:rsid w:val="004236C8"/>
    <w:rsid w:val="00427681"/>
    <w:rsid w:val="00433DB7"/>
    <w:rsid w:val="00453750"/>
    <w:rsid w:val="00456941"/>
    <w:rsid w:val="004669E3"/>
    <w:rsid w:val="00466A07"/>
    <w:rsid w:val="004702EA"/>
    <w:rsid w:val="0047062D"/>
    <w:rsid w:val="00482D02"/>
    <w:rsid w:val="004A7519"/>
    <w:rsid w:val="004B41CA"/>
    <w:rsid w:val="004D3518"/>
    <w:rsid w:val="004D62D6"/>
    <w:rsid w:val="00503EBE"/>
    <w:rsid w:val="00522F8A"/>
    <w:rsid w:val="005312CB"/>
    <w:rsid w:val="0053416C"/>
    <w:rsid w:val="00541C2F"/>
    <w:rsid w:val="00555832"/>
    <w:rsid w:val="00563527"/>
    <w:rsid w:val="0058124E"/>
    <w:rsid w:val="00584301"/>
    <w:rsid w:val="0058509A"/>
    <w:rsid w:val="005875A3"/>
    <w:rsid w:val="005A3416"/>
    <w:rsid w:val="005B27FE"/>
    <w:rsid w:val="005B7F55"/>
    <w:rsid w:val="005C3E6D"/>
    <w:rsid w:val="005F331D"/>
    <w:rsid w:val="005F61DF"/>
    <w:rsid w:val="006023F9"/>
    <w:rsid w:val="00610559"/>
    <w:rsid w:val="006332F6"/>
    <w:rsid w:val="006361E7"/>
    <w:rsid w:val="00641096"/>
    <w:rsid w:val="00652625"/>
    <w:rsid w:val="006534B2"/>
    <w:rsid w:val="0065615D"/>
    <w:rsid w:val="00657011"/>
    <w:rsid w:val="006650B5"/>
    <w:rsid w:val="006651B1"/>
    <w:rsid w:val="00665778"/>
    <w:rsid w:val="006738C4"/>
    <w:rsid w:val="00691C09"/>
    <w:rsid w:val="006A3648"/>
    <w:rsid w:val="006A5B34"/>
    <w:rsid w:val="006A5F5B"/>
    <w:rsid w:val="006C77A9"/>
    <w:rsid w:val="006E04FB"/>
    <w:rsid w:val="006F6693"/>
    <w:rsid w:val="00707FE8"/>
    <w:rsid w:val="00711DDD"/>
    <w:rsid w:val="00724962"/>
    <w:rsid w:val="00724A0F"/>
    <w:rsid w:val="0073072C"/>
    <w:rsid w:val="007320B4"/>
    <w:rsid w:val="00732162"/>
    <w:rsid w:val="00736732"/>
    <w:rsid w:val="00750CBE"/>
    <w:rsid w:val="00766B5A"/>
    <w:rsid w:val="007834F2"/>
    <w:rsid w:val="00791020"/>
    <w:rsid w:val="007A5F82"/>
    <w:rsid w:val="007B75A4"/>
    <w:rsid w:val="007F1A4C"/>
    <w:rsid w:val="008022C3"/>
    <w:rsid w:val="008041E6"/>
    <w:rsid w:val="008065D2"/>
    <w:rsid w:val="0082194C"/>
    <w:rsid w:val="008220C4"/>
    <w:rsid w:val="008222FF"/>
    <w:rsid w:val="008241FF"/>
    <w:rsid w:val="008411E9"/>
    <w:rsid w:val="0084200F"/>
    <w:rsid w:val="00843B2C"/>
    <w:rsid w:val="008471C4"/>
    <w:rsid w:val="008501EF"/>
    <w:rsid w:val="00874CB6"/>
    <w:rsid w:val="00882C79"/>
    <w:rsid w:val="008935C6"/>
    <w:rsid w:val="00894915"/>
    <w:rsid w:val="008A4900"/>
    <w:rsid w:val="008D0281"/>
    <w:rsid w:val="008E3C4E"/>
    <w:rsid w:val="008E49B3"/>
    <w:rsid w:val="008F6D45"/>
    <w:rsid w:val="009110D4"/>
    <w:rsid w:val="00934B60"/>
    <w:rsid w:val="0093610D"/>
    <w:rsid w:val="0094160C"/>
    <w:rsid w:val="00973844"/>
    <w:rsid w:val="009834C0"/>
    <w:rsid w:val="00984C95"/>
    <w:rsid w:val="00986AAC"/>
    <w:rsid w:val="009A1DA2"/>
    <w:rsid w:val="009A3704"/>
    <w:rsid w:val="009A4739"/>
    <w:rsid w:val="009A674F"/>
    <w:rsid w:val="009B199C"/>
    <w:rsid w:val="009B54C8"/>
    <w:rsid w:val="009B61F1"/>
    <w:rsid w:val="009B62E0"/>
    <w:rsid w:val="009C3D88"/>
    <w:rsid w:val="009E3858"/>
    <w:rsid w:val="009E70DD"/>
    <w:rsid w:val="009F2ED9"/>
    <w:rsid w:val="009F3231"/>
    <w:rsid w:val="009F3730"/>
    <w:rsid w:val="009F5C58"/>
    <w:rsid w:val="00A023A0"/>
    <w:rsid w:val="00A1562B"/>
    <w:rsid w:val="00A170F4"/>
    <w:rsid w:val="00A2559E"/>
    <w:rsid w:val="00A25FD9"/>
    <w:rsid w:val="00A3212B"/>
    <w:rsid w:val="00A465F2"/>
    <w:rsid w:val="00A46BA8"/>
    <w:rsid w:val="00A47634"/>
    <w:rsid w:val="00A612FE"/>
    <w:rsid w:val="00AA26B8"/>
    <w:rsid w:val="00AA6FB5"/>
    <w:rsid w:val="00AB3FE2"/>
    <w:rsid w:val="00AD3322"/>
    <w:rsid w:val="00AD7E4E"/>
    <w:rsid w:val="00AE0BEF"/>
    <w:rsid w:val="00AF34DE"/>
    <w:rsid w:val="00AF4D58"/>
    <w:rsid w:val="00AF6666"/>
    <w:rsid w:val="00B04E6A"/>
    <w:rsid w:val="00B10154"/>
    <w:rsid w:val="00B50213"/>
    <w:rsid w:val="00B81B44"/>
    <w:rsid w:val="00B9053B"/>
    <w:rsid w:val="00BB660E"/>
    <w:rsid w:val="00BC3422"/>
    <w:rsid w:val="00BD2704"/>
    <w:rsid w:val="00BD7292"/>
    <w:rsid w:val="00C015B9"/>
    <w:rsid w:val="00C022F9"/>
    <w:rsid w:val="00C02CEC"/>
    <w:rsid w:val="00C032EA"/>
    <w:rsid w:val="00C06EB5"/>
    <w:rsid w:val="00C1145F"/>
    <w:rsid w:val="00C27A23"/>
    <w:rsid w:val="00C520FB"/>
    <w:rsid w:val="00C637E1"/>
    <w:rsid w:val="00C70D50"/>
    <w:rsid w:val="00C8243E"/>
    <w:rsid w:val="00C907D7"/>
    <w:rsid w:val="00C92338"/>
    <w:rsid w:val="00CA24D2"/>
    <w:rsid w:val="00CA7C3A"/>
    <w:rsid w:val="00CC2DB2"/>
    <w:rsid w:val="00CD0307"/>
    <w:rsid w:val="00CD3D1B"/>
    <w:rsid w:val="00CD53DC"/>
    <w:rsid w:val="00CE62B3"/>
    <w:rsid w:val="00CF7788"/>
    <w:rsid w:val="00CF7DCA"/>
    <w:rsid w:val="00D211E9"/>
    <w:rsid w:val="00D2312F"/>
    <w:rsid w:val="00D269C1"/>
    <w:rsid w:val="00D44953"/>
    <w:rsid w:val="00D542F3"/>
    <w:rsid w:val="00D543E5"/>
    <w:rsid w:val="00D5644B"/>
    <w:rsid w:val="00D56E25"/>
    <w:rsid w:val="00D71896"/>
    <w:rsid w:val="00D718D7"/>
    <w:rsid w:val="00D73212"/>
    <w:rsid w:val="00D814B7"/>
    <w:rsid w:val="00D90688"/>
    <w:rsid w:val="00D9777B"/>
    <w:rsid w:val="00DA2BC9"/>
    <w:rsid w:val="00DA3AAD"/>
    <w:rsid w:val="00DB312B"/>
    <w:rsid w:val="00DC5654"/>
    <w:rsid w:val="00DC658F"/>
    <w:rsid w:val="00DE60CC"/>
    <w:rsid w:val="00E21099"/>
    <w:rsid w:val="00E26B32"/>
    <w:rsid w:val="00E31444"/>
    <w:rsid w:val="00E407B6"/>
    <w:rsid w:val="00E41EF1"/>
    <w:rsid w:val="00E42942"/>
    <w:rsid w:val="00E468A6"/>
    <w:rsid w:val="00E65FB6"/>
    <w:rsid w:val="00E71BDF"/>
    <w:rsid w:val="00E7676D"/>
    <w:rsid w:val="00E83CA7"/>
    <w:rsid w:val="00E9630C"/>
    <w:rsid w:val="00EC171D"/>
    <w:rsid w:val="00ED487E"/>
    <w:rsid w:val="00EE7A0D"/>
    <w:rsid w:val="00EF0D21"/>
    <w:rsid w:val="00F17CE1"/>
    <w:rsid w:val="00F2115C"/>
    <w:rsid w:val="00F22ABA"/>
    <w:rsid w:val="00F36B12"/>
    <w:rsid w:val="00F417C3"/>
    <w:rsid w:val="00F60F9F"/>
    <w:rsid w:val="00F64F08"/>
    <w:rsid w:val="00F65B40"/>
    <w:rsid w:val="00F734F5"/>
    <w:rsid w:val="00F966B1"/>
    <w:rsid w:val="00F97D48"/>
    <w:rsid w:val="00FA0311"/>
    <w:rsid w:val="00FC42E5"/>
    <w:rsid w:val="00FD640F"/>
    <w:rsid w:val="00FD6B4C"/>
    <w:rsid w:val="00FD6BE9"/>
    <w:rsid w:val="00FE24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7AE23"/>
  <w15:docId w15:val="{042D69C1-EE54-4C24-884A-D7D74AC6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E7676D"/>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BD7292"/>
    <w:rPr>
      <w:color w:val="004C97" w:themeColor="accent3"/>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semiHidden/>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semiHidden/>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character" w:styleId="CommentReference">
    <w:name w:val="annotation reference"/>
    <w:basedOn w:val="DefaultParagraphFont"/>
    <w:uiPriority w:val="99"/>
    <w:semiHidden/>
    <w:unhideWhenUsed/>
    <w:rsid w:val="00B04E6A"/>
    <w:rPr>
      <w:sz w:val="16"/>
      <w:szCs w:val="16"/>
    </w:rPr>
  </w:style>
  <w:style w:type="paragraph" w:styleId="CommentText">
    <w:name w:val="annotation text"/>
    <w:basedOn w:val="Normal"/>
    <w:link w:val="CommentTextChar"/>
    <w:uiPriority w:val="99"/>
    <w:unhideWhenUsed/>
    <w:rsid w:val="00B04E6A"/>
    <w:pPr>
      <w:spacing w:line="240" w:lineRule="auto"/>
    </w:pPr>
  </w:style>
  <w:style w:type="character" w:customStyle="1" w:styleId="CommentTextChar">
    <w:name w:val="Comment Text Char"/>
    <w:basedOn w:val="DefaultParagraphFont"/>
    <w:link w:val="CommentText"/>
    <w:uiPriority w:val="99"/>
    <w:rsid w:val="00B04E6A"/>
    <w:rPr>
      <w:color w:val="232B39" w:themeColor="text1"/>
    </w:rPr>
  </w:style>
  <w:style w:type="paragraph" w:styleId="CommentSubject">
    <w:name w:val="annotation subject"/>
    <w:basedOn w:val="CommentText"/>
    <w:next w:val="CommentText"/>
    <w:link w:val="CommentSubjectChar"/>
    <w:uiPriority w:val="99"/>
    <w:semiHidden/>
    <w:unhideWhenUsed/>
    <w:rsid w:val="00B04E6A"/>
    <w:rPr>
      <w:b/>
      <w:bCs/>
    </w:rPr>
  </w:style>
  <w:style w:type="character" w:customStyle="1" w:styleId="CommentSubjectChar">
    <w:name w:val="Comment Subject Char"/>
    <w:basedOn w:val="CommentTextChar"/>
    <w:link w:val="CommentSubject"/>
    <w:uiPriority w:val="99"/>
    <w:semiHidden/>
    <w:rsid w:val="00B04E6A"/>
    <w:rPr>
      <w:b/>
      <w:bCs/>
      <w:color w:val="232B39" w:themeColor="text1"/>
    </w:rPr>
  </w:style>
  <w:style w:type="paragraph" w:styleId="Revision">
    <w:name w:val="Revision"/>
    <w:hidden/>
    <w:uiPriority w:val="99"/>
    <w:semiHidden/>
    <w:rsid w:val="005312CB"/>
    <w:pPr>
      <w:spacing w:after="0" w:line="240" w:lineRule="auto"/>
    </w:pPr>
    <w:rPr>
      <w:color w:val="232B39"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psc.vic.gov.au" TargetMode="External"/><Relationship Id="rId4" Type="http://schemas.openxmlformats.org/officeDocument/2006/relationships/styles" Target="styles.xml"/><Relationship Id="rId9" Type="http://schemas.openxmlformats.org/officeDocument/2006/relationships/hyperlink" Target="https://www.vic.gov.au/guidelines-appointment-remunera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Portrait.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2.xml><?xml version="1.0" encoding="utf-8"?>
<ds:datastoreItem xmlns:ds="http://schemas.openxmlformats.org/officeDocument/2006/customXml" ds:itemID="{616E9DBE-A23C-4835-8638-28650F3A5EF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Portrait.dotm</Template>
  <TotalTime>2</TotalTime>
  <Pages>6</Pages>
  <Words>1823</Words>
  <Characters>10741</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McErvale (DTF)</dc:creator>
  <cp:lastModifiedBy>Anna Capiga (DGS)</cp:lastModifiedBy>
  <cp:revision>2</cp:revision>
  <cp:lastPrinted>2016-02-09T01:59:00Z</cp:lastPrinted>
  <dcterms:created xsi:type="dcterms:W3CDTF">2025-11-26T06:38:00Z</dcterms:created>
  <dcterms:modified xsi:type="dcterms:W3CDTF">2025-11-26T06:38:00Z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etDate">
    <vt:lpwstr>2021-07-06T04:40:57Z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
  </property>
  <property fmtid="{D5CDD505-2E9C-101B-9397-08002B2CF9AE}" pid="10" name="MSIP_Label_bb4ee517-5ca4-4fff-98d2-ed4f906edd6d_ContentBits">
    <vt:lpwstr>0</vt:lpwstr>
  </property>
  <property fmtid="{D5CDD505-2E9C-101B-9397-08002B2CF9AE}" pid="11" name="GrammarlyDocumentId">
    <vt:lpwstr>6f433381-8890-4647-9e0e-dbe7e37d023a</vt:lpwstr>
  </property>
</Properties>
</file>