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E4E5" w14:textId="4F51A965" w:rsidR="00A762F4" w:rsidRDefault="00081CC2" w:rsidP="00A23029">
      <w:pPr>
        <w:tabs>
          <w:tab w:val="left" w:pos="6667"/>
        </w:tabs>
        <w:spacing w:before="73" w:line="652" w:lineRule="exact"/>
        <w:rPr>
          <w:sz w:val="42"/>
        </w:rPr>
      </w:pPr>
      <w:r w:rsidRPr="003F62BA">
        <w:rPr>
          <w:noProof/>
          <w:color w:val="FF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784299B" wp14:editId="6CC3F23D">
            <wp:simplePos x="0" y="0"/>
            <wp:positionH relativeFrom="column">
              <wp:posOffset>4678045</wp:posOffset>
            </wp:positionH>
            <wp:positionV relativeFrom="paragraph">
              <wp:posOffset>92710</wp:posOffset>
            </wp:positionV>
            <wp:extent cx="2075597" cy="952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9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050">
        <w:rPr>
          <w:spacing w:val="-8"/>
          <w:sz w:val="42"/>
        </w:rPr>
        <w:t>Role</w:t>
      </w:r>
      <w:r w:rsidR="00727050">
        <w:rPr>
          <w:spacing w:val="-18"/>
          <w:sz w:val="42"/>
        </w:rPr>
        <w:t xml:space="preserve"> </w:t>
      </w:r>
      <w:r w:rsidR="00727050">
        <w:rPr>
          <w:spacing w:val="-10"/>
          <w:sz w:val="42"/>
        </w:rPr>
        <w:t>Description</w:t>
      </w:r>
    </w:p>
    <w:p w14:paraId="593C1D20" w14:textId="50E6A432" w:rsidR="00995FB9" w:rsidRPr="00475E8A" w:rsidRDefault="002C4ABE" w:rsidP="00995FB9">
      <w:pPr>
        <w:tabs>
          <w:tab w:val="left" w:pos="2925"/>
        </w:tabs>
        <w:rPr>
          <w:b/>
          <w:bCs/>
          <w:sz w:val="32"/>
          <w:szCs w:val="32"/>
        </w:rPr>
      </w:pPr>
      <w:r>
        <w:t xml:space="preserve"> </w:t>
      </w:r>
      <w:r w:rsidRPr="00475E8A">
        <w:rPr>
          <w:b/>
          <w:bCs/>
          <w:sz w:val="32"/>
          <w:szCs w:val="32"/>
        </w:rPr>
        <w:t xml:space="preserve">Senior Project </w:t>
      </w:r>
      <w:r w:rsidR="00591F99" w:rsidRPr="00475E8A">
        <w:rPr>
          <w:b/>
          <w:bCs/>
          <w:sz w:val="32"/>
          <w:szCs w:val="32"/>
        </w:rPr>
        <w:t>Officer</w:t>
      </w:r>
      <w:r w:rsidRPr="00475E8A">
        <w:rPr>
          <w:b/>
          <w:bCs/>
          <w:sz w:val="32"/>
          <w:szCs w:val="32"/>
        </w:rPr>
        <w:t xml:space="preserve"> Living Collections</w:t>
      </w:r>
    </w:p>
    <w:tbl>
      <w:tblPr>
        <w:tblStyle w:val="PSCGreen"/>
        <w:tblW w:w="10556" w:type="dxa"/>
        <w:tblLook w:val="04A0" w:firstRow="1" w:lastRow="0" w:firstColumn="1" w:lastColumn="0" w:noHBand="0" w:noVBand="1"/>
        <w:tblCaption w:val="PSC_Role_InformationTable"/>
        <w:tblDescription w:val="PSC_Role_InformationTable"/>
      </w:tblPr>
      <w:tblGrid>
        <w:gridCol w:w="4026"/>
        <w:gridCol w:w="6530"/>
      </w:tblGrid>
      <w:tr w:rsidR="00597550" w:rsidRPr="00CF7FA9" w14:paraId="547CE5D2" w14:textId="77777777" w:rsidTr="00171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026" w:type="dxa"/>
            <w:vAlign w:val="center"/>
          </w:tcPr>
          <w:p w14:paraId="7D16B478" w14:textId="77777777" w:rsidR="00597550" w:rsidRPr="00CF7FA9" w:rsidRDefault="00597550" w:rsidP="00171B36">
            <w:pPr>
              <w:pStyle w:val="TableTextWhite0"/>
              <w:rPr>
                <w:b/>
              </w:rPr>
            </w:pPr>
            <w:bookmarkStart w:id="0" w:name="_Hlk172804071"/>
            <w:r w:rsidRPr="00CF7FA9">
              <w:rPr>
                <w:b/>
              </w:rPr>
              <w:t>Cluster</w:t>
            </w:r>
          </w:p>
        </w:tc>
        <w:tc>
          <w:tcPr>
            <w:tcW w:w="6530" w:type="dxa"/>
          </w:tcPr>
          <w:p w14:paraId="6B166065" w14:textId="0DEC209A" w:rsidR="00597550" w:rsidRPr="00CF7FA9" w:rsidRDefault="0059393B" w:rsidP="00171B36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 xml:space="preserve">Planning, Housing &amp; Infrastructure </w:t>
            </w:r>
          </w:p>
        </w:tc>
      </w:tr>
      <w:tr w:rsidR="006750CC" w:rsidRPr="00CF7FA9" w14:paraId="343D0D4B" w14:textId="77777777" w:rsidTr="00171B36">
        <w:trPr>
          <w:cantSplit/>
        </w:trPr>
        <w:tc>
          <w:tcPr>
            <w:tcW w:w="4026" w:type="dxa"/>
            <w:vAlign w:val="center"/>
          </w:tcPr>
          <w:p w14:paraId="56898F1E" w14:textId="77777777" w:rsidR="006750CC" w:rsidRPr="00CF7FA9" w:rsidRDefault="006750CC" w:rsidP="006750CC">
            <w:pPr>
              <w:pStyle w:val="TableTextWhite0"/>
              <w:rPr>
                <w:b/>
              </w:rPr>
            </w:pPr>
            <w:bookmarkStart w:id="1" w:name="DeptAgency"/>
            <w:bookmarkEnd w:id="1"/>
            <w:r w:rsidRPr="00CF7FA9">
              <w:rPr>
                <w:b/>
              </w:rPr>
              <w:t>Department/Agency</w:t>
            </w:r>
          </w:p>
        </w:tc>
        <w:tc>
          <w:tcPr>
            <w:tcW w:w="6530" w:type="dxa"/>
          </w:tcPr>
          <w:p w14:paraId="764445F7" w14:textId="283F47F7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 xml:space="preserve">Department of Planning, Housing &amp; Infrastructure </w:t>
            </w:r>
          </w:p>
        </w:tc>
      </w:tr>
      <w:tr w:rsidR="006750CC" w:rsidRPr="00CF7FA9" w14:paraId="2694D17A" w14:textId="77777777" w:rsidTr="00171B36">
        <w:trPr>
          <w:cantSplit/>
        </w:trPr>
        <w:tc>
          <w:tcPr>
            <w:tcW w:w="4026" w:type="dxa"/>
            <w:vAlign w:val="center"/>
          </w:tcPr>
          <w:p w14:paraId="2533B3C4" w14:textId="77777777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Division/Branch/Unit</w:t>
            </w:r>
          </w:p>
        </w:tc>
        <w:tc>
          <w:tcPr>
            <w:tcW w:w="6530" w:type="dxa"/>
          </w:tcPr>
          <w:p w14:paraId="4B841E8C" w14:textId="79170308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 xml:space="preserve">Crown Lands and Public Spaces / Botanic Gardens of Sydney / </w:t>
            </w:r>
            <w:r w:rsidR="00914B51" w:rsidRPr="00CF7FA9">
              <w:rPr>
                <w:b/>
              </w:rPr>
              <w:t>Horticulture &amp; Living Collections</w:t>
            </w:r>
            <w:r w:rsidRPr="00CF7FA9">
              <w:rPr>
                <w:b/>
              </w:rPr>
              <w:t xml:space="preserve"> </w:t>
            </w:r>
          </w:p>
        </w:tc>
      </w:tr>
      <w:tr w:rsidR="006750CC" w:rsidRPr="00CF7FA9" w14:paraId="7918F6BC" w14:textId="77777777" w:rsidTr="00171B36">
        <w:trPr>
          <w:cantSplit/>
        </w:trPr>
        <w:tc>
          <w:tcPr>
            <w:tcW w:w="4026" w:type="dxa"/>
            <w:vAlign w:val="center"/>
          </w:tcPr>
          <w:p w14:paraId="36350F63" w14:textId="77777777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Role number</w:t>
            </w:r>
          </w:p>
        </w:tc>
        <w:tc>
          <w:tcPr>
            <w:tcW w:w="6530" w:type="dxa"/>
          </w:tcPr>
          <w:p w14:paraId="2C9C092E" w14:textId="77777777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Generic</w:t>
            </w:r>
          </w:p>
        </w:tc>
      </w:tr>
      <w:tr w:rsidR="006750CC" w:rsidRPr="00CF7FA9" w14:paraId="13B0C28E" w14:textId="77777777" w:rsidTr="00171B36">
        <w:trPr>
          <w:cantSplit/>
        </w:trPr>
        <w:tc>
          <w:tcPr>
            <w:tcW w:w="4026" w:type="dxa"/>
            <w:vAlign w:val="center"/>
          </w:tcPr>
          <w:p w14:paraId="4DBE8002" w14:textId="77777777" w:rsidR="006750CC" w:rsidRPr="00CF7FA9" w:rsidRDefault="006750CC" w:rsidP="006750CC">
            <w:pPr>
              <w:pStyle w:val="TableTextWhite0"/>
              <w:rPr>
                <w:b/>
                <w:color w:val="000000"/>
              </w:rPr>
            </w:pPr>
            <w:r w:rsidRPr="00CF7FA9">
              <w:rPr>
                <w:b/>
              </w:rPr>
              <w:t>Classification/Grade/Band</w:t>
            </w:r>
          </w:p>
        </w:tc>
        <w:tc>
          <w:tcPr>
            <w:tcW w:w="6530" w:type="dxa"/>
          </w:tcPr>
          <w:p w14:paraId="2041B45B" w14:textId="4EA71AC8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 xml:space="preserve">Clerk Grade </w:t>
            </w:r>
            <w:r w:rsidR="00914B51" w:rsidRPr="00CF7FA9">
              <w:rPr>
                <w:b/>
              </w:rPr>
              <w:t>9/10</w:t>
            </w:r>
          </w:p>
        </w:tc>
      </w:tr>
      <w:tr w:rsidR="006750CC" w:rsidRPr="00CF7FA9" w14:paraId="367DE027" w14:textId="77777777" w:rsidTr="00171B36">
        <w:trPr>
          <w:cantSplit/>
        </w:trPr>
        <w:tc>
          <w:tcPr>
            <w:tcW w:w="4026" w:type="dxa"/>
            <w:vAlign w:val="center"/>
          </w:tcPr>
          <w:p w14:paraId="0183BC08" w14:textId="77777777" w:rsidR="006750CC" w:rsidRPr="00CF7FA9" w:rsidRDefault="006750CC" w:rsidP="006750CC">
            <w:pPr>
              <w:pStyle w:val="TableTextWhite0"/>
              <w:rPr>
                <w:b/>
                <w:color w:val="000000"/>
              </w:rPr>
            </w:pPr>
            <w:r w:rsidRPr="00CF7FA9">
              <w:rPr>
                <w:b/>
              </w:rPr>
              <w:t>ANZSCO Code</w:t>
            </w:r>
          </w:p>
        </w:tc>
        <w:tc>
          <w:tcPr>
            <w:tcW w:w="6530" w:type="dxa"/>
          </w:tcPr>
          <w:p w14:paraId="35D138D4" w14:textId="62F74B65" w:rsidR="006750CC" w:rsidRPr="00CF7FA9" w:rsidRDefault="00CF7FA9" w:rsidP="006750CC">
            <w:pPr>
              <w:pStyle w:val="TableTextWhite0"/>
              <w:rPr>
                <w:b/>
              </w:rPr>
            </w:pPr>
            <w:r>
              <w:rPr>
                <w:b/>
              </w:rPr>
              <w:t>511112</w:t>
            </w:r>
          </w:p>
        </w:tc>
      </w:tr>
      <w:tr w:rsidR="006750CC" w:rsidRPr="00CF7FA9" w14:paraId="0AC181B7" w14:textId="77777777" w:rsidTr="00171B36">
        <w:trPr>
          <w:cantSplit/>
        </w:trPr>
        <w:tc>
          <w:tcPr>
            <w:tcW w:w="4026" w:type="dxa"/>
            <w:vAlign w:val="center"/>
          </w:tcPr>
          <w:p w14:paraId="160D13E2" w14:textId="77777777" w:rsidR="006750CC" w:rsidRPr="00CF7FA9" w:rsidRDefault="006750CC" w:rsidP="006750CC">
            <w:pPr>
              <w:pStyle w:val="TableTextWhite0"/>
              <w:rPr>
                <w:b/>
                <w:color w:val="000000"/>
              </w:rPr>
            </w:pPr>
            <w:r w:rsidRPr="00CF7FA9">
              <w:rPr>
                <w:b/>
              </w:rPr>
              <w:t>PCAT Code</w:t>
            </w:r>
          </w:p>
        </w:tc>
        <w:tc>
          <w:tcPr>
            <w:tcW w:w="6530" w:type="dxa"/>
          </w:tcPr>
          <w:p w14:paraId="0EC0852B" w14:textId="0E64B19A" w:rsidR="006750CC" w:rsidRPr="00CF7FA9" w:rsidRDefault="00CF7FA9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1119192</w:t>
            </w:r>
          </w:p>
        </w:tc>
      </w:tr>
      <w:tr w:rsidR="006750CC" w:rsidRPr="00CF7FA9" w14:paraId="3207A185" w14:textId="77777777" w:rsidTr="00171B36">
        <w:trPr>
          <w:cantSplit/>
        </w:trPr>
        <w:tc>
          <w:tcPr>
            <w:tcW w:w="4026" w:type="dxa"/>
            <w:vAlign w:val="center"/>
          </w:tcPr>
          <w:p w14:paraId="3C99FAB5" w14:textId="77777777" w:rsidR="006750CC" w:rsidRPr="00CF7FA9" w:rsidRDefault="006750CC" w:rsidP="006750CC">
            <w:pPr>
              <w:pStyle w:val="TableTextWhite0"/>
              <w:rPr>
                <w:b/>
                <w:color w:val="000000"/>
              </w:rPr>
            </w:pPr>
            <w:r w:rsidRPr="00CF7FA9">
              <w:rPr>
                <w:b/>
              </w:rPr>
              <w:t>Date of Approval</w:t>
            </w:r>
          </w:p>
        </w:tc>
        <w:tc>
          <w:tcPr>
            <w:tcW w:w="6530" w:type="dxa"/>
          </w:tcPr>
          <w:p w14:paraId="7A33D88D" w14:textId="7164E3AC" w:rsidR="006750CC" w:rsidRPr="00CF7FA9" w:rsidRDefault="00591F99" w:rsidP="006750CC">
            <w:pPr>
              <w:pStyle w:val="TableTextWhite0"/>
              <w:rPr>
                <w:b/>
              </w:rPr>
            </w:pPr>
            <w:r>
              <w:rPr>
                <w:b/>
              </w:rPr>
              <w:t>October 2025</w:t>
            </w:r>
          </w:p>
        </w:tc>
      </w:tr>
      <w:tr w:rsidR="006750CC" w:rsidRPr="00C978B9" w14:paraId="237FA285" w14:textId="77777777" w:rsidTr="00171B36">
        <w:trPr>
          <w:cantSplit/>
        </w:trPr>
        <w:tc>
          <w:tcPr>
            <w:tcW w:w="4026" w:type="dxa"/>
            <w:vAlign w:val="center"/>
          </w:tcPr>
          <w:p w14:paraId="69CC2E60" w14:textId="77777777" w:rsidR="006750CC" w:rsidRPr="00CF7FA9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Agency Website</w:t>
            </w:r>
          </w:p>
        </w:tc>
        <w:tc>
          <w:tcPr>
            <w:tcW w:w="6530" w:type="dxa"/>
          </w:tcPr>
          <w:p w14:paraId="591C0884" w14:textId="54696E06" w:rsidR="006750CC" w:rsidRPr="004A3696" w:rsidRDefault="006750CC" w:rsidP="006750CC">
            <w:pPr>
              <w:pStyle w:val="TableTextWhite0"/>
              <w:rPr>
                <w:b/>
              </w:rPr>
            </w:pPr>
            <w:r w:rsidRPr="00CF7FA9">
              <w:rPr>
                <w:b/>
              </w:rPr>
              <w:t>www.botanicgardens.org.au</w:t>
            </w:r>
          </w:p>
        </w:tc>
      </w:tr>
    </w:tbl>
    <w:bookmarkEnd w:id="0"/>
    <w:p w14:paraId="23AA07FB" w14:textId="77777777" w:rsidR="00995FB9" w:rsidRDefault="00995FB9" w:rsidP="00970556">
      <w:pPr>
        <w:tabs>
          <w:tab w:val="left" w:pos="2925"/>
        </w:tabs>
        <w:spacing w:before="240" w:after="200" w:line="276" w:lineRule="auto"/>
        <w:rPr>
          <w:rStyle w:val="Heading1Char"/>
          <w:sz w:val="26"/>
          <w:lang w:eastAsia="en-US"/>
        </w:rPr>
      </w:pPr>
      <w:r w:rsidRPr="00614552">
        <w:rPr>
          <w:rStyle w:val="Heading1Char"/>
          <w:sz w:val="26"/>
          <w:lang w:eastAsia="en-US"/>
        </w:rPr>
        <w:t>Agency overview</w:t>
      </w:r>
    </w:p>
    <w:p w14:paraId="1F2758EE" w14:textId="77777777" w:rsidR="0059393B" w:rsidRPr="0059393B" w:rsidRDefault="0059393B" w:rsidP="00970556">
      <w:pPr>
        <w:widowControl/>
        <w:autoSpaceDE/>
        <w:autoSpaceDN/>
        <w:spacing w:after="200" w:line="276" w:lineRule="auto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lang w:val="en-US" w:eastAsia="en-US" w:bidi="ar-SA"/>
        </w:rPr>
        <w:t xml:space="preserve">Botanic Gardens of Sydney is the trading name of the Royal Botanic Gardens and Domain Trust (the Trust), which is established under the </w:t>
      </w:r>
      <w:r w:rsidRPr="0059393B">
        <w:rPr>
          <w:rFonts w:eastAsia="Times New Roman" w:cs="Times New Roman"/>
          <w:i/>
          <w:lang w:val="en-US" w:eastAsia="en-US" w:bidi="ar-SA"/>
        </w:rPr>
        <w:t>Royal Botanic Gardens and Domain Trust Act 1980</w:t>
      </w:r>
      <w:r w:rsidRPr="0059393B">
        <w:rPr>
          <w:rFonts w:eastAsia="Times New Roman" w:cs="Times New Roman"/>
          <w:lang w:val="en-US" w:eastAsia="en-US" w:bidi="ar-SA"/>
        </w:rPr>
        <w:t>.</w:t>
      </w:r>
    </w:p>
    <w:p w14:paraId="5604ABFC" w14:textId="77777777" w:rsidR="0059393B" w:rsidRPr="0059393B" w:rsidRDefault="0059393B" w:rsidP="00970556">
      <w:pPr>
        <w:widowControl/>
        <w:autoSpaceDE/>
        <w:autoSpaceDN/>
        <w:spacing w:after="200" w:line="276" w:lineRule="auto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lang w:val="en-US" w:eastAsia="en-US" w:bidi="ar-SA"/>
        </w:rPr>
        <w:t xml:space="preserve">The </w:t>
      </w:r>
      <w:proofErr w:type="spellStart"/>
      <w:r w:rsidRPr="0059393B">
        <w:rPr>
          <w:rFonts w:eastAsia="Times New Roman" w:cs="Times New Roman"/>
          <w:lang w:val="en-US" w:eastAsia="en-US" w:bidi="ar-SA"/>
        </w:rPr>
        <w:t>organisation</w:t>
      </w:r>
      <w:proofErr w:type="spellEnd"/>
      <w:r w:rsidRPr="0059393B">
        <w:rPr>
          <w:rFonts w:eastAsia="Times New Roman" w:cs="Times New Roman"/>
          <w:lang w:val="en-US" w:eastAsia="en-US" w:bidi="ar-SA"/>
        </w:rPr>
        <w:t xml:space="preserve"> encompasses Australia’s premier botanical research institute, Sydney’s leading outdoor live entertainment and activation precinct, and three world-leading botanic gardens and international tourism destinations.</w:t>
      </w:r>
    </w:p>
    <w:p w14:paraId="11B5C821" w14:textId="77777777" w:rsidR="0059393B" w:rsidRPr="0059393B" w:rsidRDefault="0059393B" w:rsidP="00970556">
      <w:pPr>
        <w:widowControl/>
        <w:autoSpaceDE/>
        <w:autoSpaceDN/>
        <w:spacing w:after="200" w:line="276" w:lineRule="auto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lang w:val="en-US" w:eastAsia="en-US" w:bidi="ar-SA"/>
        </w:rPr>
        <w:t>As Australia’s oldest scientific institution, Botanic Gardens of Sydney are custodians of more than $1.2 billion in state significant cultural, heritage and botanical collections.  The Gardens are a leading entity within the NSW tourism sector with a focus on engaging international, national, and regional visitors.</w:t>
      </w:r>
    </w:p>
    <w:p w14:paraId="65DD2394" w14:textId="77777777" w:rsidR="0059393B" w:rsidRPr="0059393B" w:rsidRDefault="0059393B" w:rsidP="00970556">
      <w:pPr>
        <w:widowControl/>
        <w:autoSpaceDE/>
        <w:autoSpaceDN/>
        <w:spacing w:after="200" w:line="276" w:lineRule="auto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lang w:val="en-US" w:eastAsia="en-US" w:bidi="ar-SA"/>
        </w:rPr>
        <w:t>Our key pillars:</w:t>
      </w:r>
    </w:p>
    <w:p w14:paraId="6FAAD05C" w14:textId="77777777" w:rsidR="0059393B" w:rsidRPr="0059393B" w:rsidRDefault="0059393B" w:rsidP="00970556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697" w:hanging="357"/>
        <w:contextualSpacing/>
        <w:jc w:val="both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b/>
          <w:lang w:val="en-US" w:eastAsia="en-US" w:bidi="ar-SA"/>
        </w:rPr>
        <w:t>Australian Institute of Botanical Science</w:t>
      </w:r>
      <w:r w:rsidRPr="0059393B">
        <w:rPr>
          <w:rFonts w:eastAsia="Times New Roman" w:cs="Times New Roman"/>
          <w:lang w:val="en-US" w:eastAsia="en-US" w:bidi="ar-SA"/>
        </w:rPr>
        <w:t>: Australia’s premier botanical research institute encompassing the education, science, conservation, and collections of the Botanic Gardens.</w:t>
      </w:r>
    </w:p>
    <w:p w14:paraId="07085356" w14:textId="77777777" w:rsidR="0059393B" w:rsidRPr="0059393B" w:rsidRDefault="0059393B" w:rsidP="00970556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697" w:hanging="357"/>
        <w:contextualSpacing/>
        <w:jc w:val="both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b/>
          <w:lang w:val="en-US" w:eastAsia="en-US" w:bidi="ar-SA"/>
        </w:rPr>
        <w:t>The Domain</w:t>
      </w:r>
      <w:r w:rsidRPr="0059393B">
        <w:rPr>
          <w:rFonts w:eastAsia="Times New Roman" w:cs="Times New Roman"/>
          <w:lang w:val="en-US" w:eastAsia="en-US" w:bidi="ar-SA"/>
        </w:rPr>
        <w:t>: Sydney’s leading outdoor live entertainment and activation precinct.</w:t>
      </w:r>
    </w:p>
    <w:p w14:paraId="6571ABBC" w14:textId="77777777" w:rsidR="0059393B" w:rsidRPr="0059393B" w:rsidRDefault="0059393B" w:rsidP="00970556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697" w:hanging="357"/>
        <w:contextualSpacing/>
        <w:jc w:val="both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b/>
          <w:lang w:val="en-US" w:eastAsia="en-US" w:bidi="ar-SA"/>
        </w:rPr>
        <w:t>Royal Botanic Garden Sydney</w:t>
      </w:r>
      <w:r w:rsidRPr="0059393B">
        <w:rPr>
          <w:rFonts w:eastAsia="Times New Roman" w:cs="Times New Roman"/>
          <w:lang w:val="en-US" w:eastAsia="en-US" w:bidi="ar-SA"/>
        </w:rPr>
        <w:t>: One of Australia’s most-visited international tourist attractions and Australia’s oldest scientific institution.</w:t>
      </w:r>
    </w:p>
    <w:p w14:paraId="54D62C8E" w14:textId="77777777" w:rsidR="0059393B" w:rsidRPr="0059393B" w:rsidRDefault="0059393B" w:rsidP="00970556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697" w:hanging="357"/>
        <w:contextualSpacing/>
        <w:jc w:val="both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b/>
          <w:lang w:val="en-US" w:eastAsia="en-US" w:bidi="ar-SA"/>
        </w:rPr>
        <w:t>Australian Botanic Garden Mount Annan</w:t>
      </w:r>
      <w:r w:rsidRPr="0059393B">
        <w:rPr>
          <w:rFonts w:eastAsia="Times New Roman" w:cs="Times New Roman"/>
          <w:lang w:val="en-US" w:eastAsia="en-US" w:bidi="ar-SA"/>
        </w:rPr>
        <w:t>: The emerging flagship campus of the Australian Institute of Botanical Science – home of the National Herbarium of New South Wales and the Australian PlantBank</w:t>
      </w:r>
    </w:p>
    <w:p w14:paraId="37781496" w14:textId="77777777" w:rsidR="0059393B" w:rsidRDefault="0059393B" w:rsidP="00970556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rFonts w:eastAsia="Times New Roman" w:cs="Times New Roman"/>
          <w:lang w:val="en-US" w:eastAsia="en-US" w:bidi="ar-SA"/>
        </w:rPr>
      </w:pPr>
      <w:r w:rsidRPr="0059393B">
        <w:rPr>
          <w:rFonts w:eastAsia="Times New Roman" w:cs="Times New Roman"/>
          <w:b/>
          <w:lang w:val="en-US" w:eastAsia="en-US" w:bidi="ar-SA"/>
        </w:rPr>
        <w:t>Blue</w:t>
      </w:r>
      <w:r w:rsidRPr="0059393B">
        <w:rPr>
          <w:rFonts w:eastAsia="Times New Roman" w:cs="Times New Roman"/>
          <w:lang w:val="en-US" w:eastAsia="en-US" w:bidi="ar-SA"/>
        </w:rPr>
        <w:t xml:space="preserve"> </w:t>
      </w:r>
      <w:r w:rsidRPr="0059393B">
        <w:rPr>
          <w:rFonts w:eastAsia="Times New Roman" w:cs="Times New Roman"/>
          <w:b/>
          <w:lang w:val="en-US" w:eastAsia="en-US" w:bidi="ar-SA"/>
        </w:rPr>
        <w:t>Mountains Botanic Garden Mount Tomah</w:t>
      </w:r>
      <w:r w:rsidRPr="0059393B">
        <w:rPr>
          <w:rFonts w:eastAsia="Times New Roman" w:cs="Times New Roman"/>
          <w:lang w:val="en-US" w:eastAsia="en-US" w:bidi="ar-SA"/>
        </w:rPr>
        <w:t>: Australia’s highest cool-climate Botanic Garden within a World Heritage Area.</w:t>
      </w:r>
    </w:p>
    <w:p w14:paraId="1FD7BC85" w14:textId="77777777" w:rsidR="00C21A42" w:rsidRDefault="00C21A42" w:rsidP="00C21A42">
      <w:pPr>
        <w:widowControl/>
        <w:autoSpaceDE/>
        <w:autoSpaceDN/>
        <w:spacing w:after="200" w:line="276" w:lineRule="auto"/>
        <w:jc w:val="both"/>
        <w:rPr>
          <w:rFonts w:eastAsia="Times New Roman" w:cs="Times New Roman"/>
          <w:lang w:val="en-US" w:eastAsia="en-US" w:bidi="ar-SA"/>
        </w:rPr>
      </w:pPr>
    </w:p>
    <w:p w14:paraId="0B031C07" w14:textId="77777777" w:rsidR="00591F99" w:rsidRPr="0059393B" w:rsidRDefault="00591F99" w:rsidP="00C21A42">
      <w:pPr>
        <w:widowControl/>
        <w:autoSpaceDE/>
        <w:autoSpaceDN/>
        <w:spacing w:after="200" w:line="276" w:lineRule="auto"/>
        <w:jc w:val="both"/>
        <w:rPr>
          <w:rFonts w:eastAsia="Times New Roman" w:cs="Times New Roman"/>
          <w:lang w:val="en-US" w:eastAsia="en-US" w:bidi="ar-SA"/>
        </w:rPr>
      </w:pPr>
    </w:p>
    <w:p w14:paraId="46AD67C3" w14:textId="2E73B40B" w:rsidR="00165354" w:rsidRPr="00165354" w:rsidRDefault="00165354" w:rsidP="00970556">
      <w:pPr>
        <w:pStyle w:val="Heading1"/>
        <w:spacing w:after="200" w:line="276" w:lineRule="auto"/>
        <w:ind w:left="-5"/>
        <w:contextualSpacing/>
        <w:rPr>
          <w:sz w:val="24"/>
          <w:szCs w:val="24"/>
        </w:rPr>
      </w:pPr>
      <w:r w:rsidRPr="00165354">
        <w:rPr>
          <w:sz w:val="24"/>
          <w:szCs w:val="24"/>
        </w:rPr>
        <w:lastRenderedPageBreak/>
        <w:t xml:space="preserve">Primary purpose of the role </w:t>
      </w:r>
    </w:p>
    <w:p w14:paraId="51BB8483" w14:textId="63C17ADE" w:rsidR="008D4DC5" w:rsidRPr="008D4DC5" w:rsidRDefault="008D4DC5" w:rsidP="00970556">
      <w:pPr>
        <w:spacing w:after="200" w:line="276" w:lineRule="auto"/>
        <w:ind w:left="-6" w:right="136"/>
      </w:pPr>
      <w:r w:rsidRPr="008D4DC5">
        <w:t xml:space="preserve">The </w:t>
      </w:r>
      <w:r w:rsidR="00CF7FA9">
        <w:t>role</w:t>
      </w:r>
      <w:r>
        <w:t xml:space="preserve"> </w:t>
      </w:r>
      <w:r w:rsidR="00591F99">
        <w:t xml:space="preserve">is responsible for facilitating </w:t>
      </w:r>
      <w:r>
        <w:t>strategic implementation of key organisational projects and strategies related to the living collection acqu</w:t>
      </w:r>
      <w:r w:rsidR="00B71175">
        <w:t>isition, curation and utilisation.</w:t>
      </w:r>
      <w:r w:rsidR="00CF7FA9">
        <w:t xml:space="preserve"> It is</w:t>
      </w:r>
      <w:r w:rsidRPr="008D4DC5">
        <w:t xml:space="preserve"> responsible for </w:t>
      </w:r>
      <w:r w:rsidR="00B71175">
        <w:t xml:space="preserve">leading </w:t>
      </w:r>
      <w:r w:rsidR="00890AF6">
        <w:t>and</w:t>
      </w:r>
      <w:r w:rsidR="00B71175">
        <w:t xml:space="preserve"> manag</w:t>
      </w:r>
      <w:r w:rsidR="00890AF6">
        <w:t xml:space="preserve">ing </w:t>
      </w:r>
      <w:r w:rsidR="00084BB1">
        <w:t xml:space="preserve">Horticultural Projects </w:t>
      </w:r>
      <w:r w:rsidR="00B71175">
        <w:t xml:space="preserve">and </w:t>
      </w:r>
      <w:r w:rsidR="00282140">
        <w:t>support</w:t>
      </w:r>
      <w:r w:rsidR="00084BB1">
        <w:t>s the</w:t>
      </w:r>
      <w:r w:rsidR="00282140">
        <w:t xml:space="preserve"> implementation of </w:t>
      </w:r>
      <w:r w:rsidR="008F3476">
        <w:t>relevant strategies and plans</w:t>
      </w:r>
      <w:r w:rsidR="00282140">
        <w:t>,</w:t>
      </w:r>
      <w:r w:rsidRPr="008D4DC5">
        <w:t xml:space="preserve"> advancing, and championing one of the world’s leading plant collections, and </w:t>
      </w:r>
      <w:r w:rsidR="00633E2E">
        <w:t>supporting</w:t>
      </w:r>
      <w:r w:rsidRPr="008D4DC5">
        <w:t xml:space="preserve"> the strategic, innovative, and collaborative development of horticulture to meet the RBGDT’s strategic vision to explore, conserve the world of plants for a better future. </w:t>
      </w:r>
    </w:p>
    <w:p w14:paraId="4C6F1C4C" w14:textId="4FE8A699" w:rsidR="009C6546" w:rsidRPr="00FD2754" w:rsidRDefault="00165354" w:rsidP="00970556">
      <w:pPr>
        <w:spacing w:after="200" w:line="276" w:lineRule="auto"/>
        <w:ind w:left="-5" w:right="137"/>
        <w:contextualSpacing/>
        <w:rPr>
          <w:b/>
          <w:bCs/>
          <w:sz w:val="24"/>
          <w:szCs w:val="24"/>
        </w:rPr>
      </w:pPr>
      <w:r w:rsidRPr="00165354">
        <w:rPr>
          <w:b/>
          <w:sz w:val="24"/>
          <w:szCs w:val="24"/>
        </w:rPr>
        <w:t xml:space="preserve">Key accountabilities </w:t>
      </w:r>
    </w:p>
    <w:p w14:paraId="42558BCE" w14:textId="77777777" w:rsidR="005E381C" w:rsidRPr="006554DD" w:rsidRDefault="005E381C" w:rsidP="005E381C">
      <w:pPr>
        <w:pStyle w:val="ListParagraph"/>
        <w:widowControl/>
        <w:numPr>
          <w:ilvl w:val="0"/>
          <w:numId w:val="19"/>
        </w:numPr>
        <w:tabs>
          <w:tab w:val="left" w:pos="2925"/>
        </w:tabs>
        <w:autoSpaceDE/>
        <w:autoSpaceDN/>
        <w:spacing w:before="0" w:after="200" w:line="276" w:lineRule="auto"/>
        <w:contextualSpacing/>
      </w:pPr>
      <w:r>
        <w:t>Manage and oversee all aspects of project planning, development and implementation for a range of projects, including developing project plans, coordinating resources, managing budgets, meeting reporting requirements, and supporting project-related activities, to ensure project outcomes are achieved on time, on budget, to quality standards and within agreed scope in line with established agency project management methodology</w:t>
      </w:r>
    </w:p>
    <w:p w14:paraId="6E610FFA" w14:textId="2515493D" w:rsidR="00E94CB2" w:rsidRDefault="00E94CB2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>
        <w:t xml:space="preserve">Coordinate and manage the </w:t>
      </w:r>
      <w:r w:rsidRPr="00E94CB2">
        <w:t xml:space="preserve">acquisition of species </w:t>
      </w:r>
      <w:r>
        <w:t xml:space="preserve">from botanic gardens and other suppliers nationally and internationally, </w:t>
      </w:r>
      <w:r w:rsidR="008E3A23">
        <w:t>including</w:t>
      </w:r>
      <w:r>
        <w:t xml:space="preserve"> </w:t>
      </w:r>
      <w:r w:rsidRPr="00E94CB2">
        <w:t>navigat</w:t>
      </w:r>
      <w:r w:rsidR="008E3A23">
        <w:t>ion of</w:t>
      </w:r>
      <w:r w:rsidRPr="00E94CB2">
        <w:t xml:space="preserve"> quarantine</w:t>
      </w:r>
      <w:r>
        <w:t xml:space="preserve"> requirements for</w:t>
      </w:r>
      <w:r w:rsidRPr="00E94CB2">
        <w:t xml:space="preserve"> importation </w:t>
      </w:r>
      <w:r>
        <w:t>of plant material.</w:t>
      </w:r>
    </w:p>
    <w:p w14:paraId="022BE76F" w14:textId="1490A503" w:rsidR="00E94CB2" w:rsidRPr="00FD2754" w:rsidRDefault="00E94CB2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>
        <w:t>E</w:t>
      </w:r>
      <w:r w:rsidRPr="00E94CB2">
        <w:t xml:space="preserve">stablish </w:t>
      </w:r>
      <w:r>
        <w:t xml:space="preserve">and schedule plant </w:t>
      </w:r>
      <w:r w:rsidRPr="00E94CB2">
        <w:t xml:space="preserve">propagation </w:t>
      </w:r>
      <w:r>
        <w:t>programs</w:t>
      </w:r>
      <w:r w:rsidRPr="00E94CB2">
        <w:t xml:space="preserve"> </w:t>
      </w:r>
      <w:r w:rsidR="00084BB1">
        <w:t>in line with</w:t>
      </w:r>
      <w:r w:rsidR="004B7509">
        <w:t xml:space="preserve"> </w:t>
      </w:r>
      <w:r>
        <w:t>identified conservation priorities</w:t>
      </w:r>
      <w:r w:rsidR="004B7509">
        <w:t xml:space="preserve"> to support the implementation of Horticultural Projects</w:t>
      </w:r>
      <w:r w:rsidRPr="00E94CB2">
        <w:t>.</w:t>
      </w:r>
    </w:p>
    <w:p w14:paraId="490B94A0" w14:textId="5379FE79" w:rsidR="000A585E" w:rsidRPr="006554DD" w:rsidRDefault="000A585E" w:rsidP="000A585E">
      <w:pPr>
        <w:pStyle w:val="ListParagraph"/>
        <w:widowControl/>
        <w:numPr>
          <w:ilvl w:val="0"/>
          <w:numId w:val="19"/>
        </w:numPr>
        <w:tabs>
          <w:tab w:val="left" w:pos="2925"/>
        </w:tabs>
        <w:autoSpaceDE/>
        <w:autoSpaceDN/>
        <w:spacing w:before="0" w:after="200" w:line="276" w:lineRule="auto"/>
        <w:contextualSpacing/>
      </w:pPr>
      <w:r>
        <w:t>Establish and maintain stakeholder relationships through effective communication, negotiation and issues management to engage stakeholders and ensure project deliverables are met.</w:t>
      </w:r>
    </w:p>
    <w:p w14:paraId="47DA3213" w14:textId="0E4C438A" w:rsidR="00FD2754" w:rsidRPr="00FD2754" w:rsidRDefault="00FD2754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 w:rsidRPr="00FD2754">
        <w:t xml:space="preserve">Support the </w:t>
      </w:r>
      <w:r w:rsidR="00C62793">
        <w:t>implementation of the</w:t>
      </w:r>
      <w:r w:rsidRPr="00FD2754">
        <w:t xml:space="preserve"> Living Collections </w:t>
      </w:r>
      <w:r w:rsidR="00C62793">
        <w:t xml:space="preserve">Strategy Action Plan, </w:t>
      </w:r>
      <w:r w:rsidRPr="00FD2754">
        <w:t>ensuring appropriate</w:t>
      </w:r>
      <w:r w:rsidR="00A655F5">
        <w:t xml:space="preserve"> focus on key actions across the organisation</w:t>
      </w:r>
      <w:r w:rsidRPr="00FD2754">
        <w:t xml:space="preserve">. </w:t>
      </w:r>
    </w:p>
    <w:p w14:paraId="409D9A4C" w14:textId="63E6A4DC" w:rsidR="00970556" w:rsidRDefault="00FD2754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 w:rsidRPr="00FD2754">
        <w:t xml:space="preserve">Maintain effective financial planning and controls and provide advice, proposals, complex written reports, submissions, briefing notes and other written materials </w:t>
      </w:r>
      <w:r w:rsidR="00A655F5">
        <w:t xml:space="preserve">related to </w:t>
      </w:r>
      <w:r w:rsidR="00084BB1">
        <w:t>Horticultural</w:t>
      </w:r>
      <w:r w:rsidR="00A655F5">
        <w:t xml:space="preserve"> Project</w:t>
      </w:r>
      <w:r w:rsidR="00084BB1">
        <w:t>s</w:t>
      </w:r>
      <w:r w:rsidR="00A655F5">
        <w:t xml:space="preserve"> and Living Collections Strategy</w:t>
      </w:r>
      <w:r w:rsidRPr="00FD2754">
        <w:t>, including those of a contentious or sensitive nature, to support the delivery of conservation and horticultural p</w:t>
      </w:r>
      <w:r w:rsidR="009A653B">
        <w:t>riorities</w:t>
      </w:r>
      <w:r w:rsidRPr="00FD2754">
        <w:t xml:space="preserve">. </w:t>
      </w:r>
    </w:p>
    <w:p w14:paraId="04530C5F" w14:textId="224F750C" w:rsidR="00970556" w:rsidRDefault="009C6546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 w:rsidRPr="009C6546">
        <w:t xml:space="preserve">Broaden the </w:t>
      </w:r>
      <w:r w:rsidR="008B3A9D">
        <w:t>Botanic Gardens</w:t>
      </w:r>
      <w:r w:rsidRPr="009C6546">
        <w:t xml:space="preserve"> </w:t>
      </w:r>
      <w:r w:rsidR="009A653B">
        <w:t xml:space="preserve">networks with organisations that can provide material and information to support </w:t>
      </w:r>
      <w:r w:rsidR="003930FF">
        <w:t>project priorities.</w:t>
      </w:r>
      <w:r w:rsidRPr="009C6546">
        <w:t xml:space="preserve"> </w:t>
      </w:r>
    </w:p>
    <w:p w14:paraId="0EC0DFA2" w14:textId="77777777" w:rsidR="00970556" w:rsidRDefault="00EF01B4" w:rsidP="00970556">
      <w:pPr>
        <w:pStyle w:val="ListParagraph"/>
        <w:widowControl/>
        <w:numPr>
          <w:ilvl w:val="0"/>
          <w:numId w:val="19"/>
        </w:numPr>
        <w:autoSpaceDE/>
        <w:autoSpaceDN/>
        <w:spacing w:before="0" w:after="200" w:line="276" w:lineRule="auto"/>
        <w:ind w:right="137"/>
        <w:contextualSpacing/>
      </w:pPr>
      <w:r>
        <w:t>Prepare</w:t>
      </w:r>
      <w:r w:rsidR="00027FEC">
        <w:t xml:space="preserve"> project materials and reports</w:t>
      </w:r>
      <w:r w:rsidR="009C6546" w:rsidRPr="009C6546">
        <w:t xml:space="preserve">, </w:t>
      </w:r>
      <w:r w:rsidR="00181A7D">
        <w:t>ensuring compliance with legislative requirements for the acquisition of plant material nationally and internationally</w:t>
      </w:r>
      <w:r w:rsidR="00D41F57">
        <w:t>, reporting progress and measuring</w:t>
      </w:r>
      <w:r w:rsidR="009C6546" w:rsidRPr="009C6546">
        <w:t xml:space="preserve"> impact and achievements in a meaningful, timely and transparent way. </w:t>
      </w:r>
    </w:p>
    <w:p w14:paraId="345998D1" w14:textId="77777777" w:rsidR="00165354" w:rsidRPr="00165354" w:rsidRDefault="00165354" w:rsidP="00970556">
      <w:pPr>
        <w:pStyle w:val="Heading1"/>
        <w:spacing w:after="200" w:line="276" w:lineRule="auto"/>
        <w:ind w:left="-5"/>
        <w:contextualSpacing/>
        <w:rPr>
          <w:sz w:val="24"/>
          <w:szCs w:val="24"/>
        </w:rPr>
      </w:pPr>
      <w:r w:rsidRPr="00165354">
        <w:rPr>
          <w:sz w:val="24"/>
          <w:szCs w:val="24"/>
        </w:rPr>
        <w:t xml:space="preserve">Key challenges </w:t>
      </w:r>
    </w:p>
    <w:p w14:paraId="46E17031" w14:textId="11574C77" w:rsidR="008B3A9D" w:rsidRDefault="0088156A" w:rsidP="00970556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</w:pPr>
      <w:r w:rsidRPr="0088156A">
        <w:t xml:space="preserve">Keeping up-to-date with relevant </w:t>
      </w:r>
      <w:r w:rsidR="00D41F57">
        <w:t>horticultural</w:t>
      </w:r>
      <w:r w:rsidRPr="0088156A">
        <w:t xml:space="preserve"> issues, trends, policies and legislation and the implications for the Botanic Gardens of Sydney </w:t>
      </w:r>
      <w:r w:rsidR="008F3476">
        <w:t>while focussing on priority projects across the Horticulture Directorate</w:t>
      </w:r>
      <w:r w:rsidR="008B3A9D">
        <w:t xml:space="preserve"> within a limited resources framework</w:t>
      </w:r>
      <w:r w:rsidR="00B94C67">
        <w:t>.</w:t>
      </w:r>
    </w:p>
    <w:p w14:paraId="30BE1EFD" w14:textId="43EB5F0C" w:rsidR="008B3A9D" w:rsidRDefault="008B3A9D" w:rsidP="00970556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</w:pPr>
      <w:r w:rsidRPr="008B3A9D">
        <w:t>Building and maintaining positive stakeholder relationships internally and externally</w:t>
      </w:r>
      <w:r w:rsidR="00735868">
        <w:t>, and locally, nationally and globally,</w:t>
      </w:r>
      <w:r w:rsidRPr="008B3A9D">
        <w:t xml:space="preserve"> to ensure the </w:t>
      </w:r>
      <w:r w:rsidR="00B94C67">
        <w:t xml:space="preserve">horticultural and operational deliverables </w:t>
      </w:r>
      <w:r w:rsidR="0088156A">
        <w:t xml:space="preserve">are </w:t>
      </w:r>
      <w:r w:rsidR="00BE52AF">
        <w:t>complementary</w:t>
      </w:r>
      <w:r w:rsidR="0088156A">
        <w:t xml:space="preserve">, and </w:t>
      </w:r>
      <w:r>
        <w:t>Botanic Gardens of Sydney</w:t>
      </w:r>
      <w:r w:rsidRPr="008B3A9D">
        <w:t xml:space="preserve"> effectively prioritises its </w:t>
      </w:r>
      <w:r w:rsidR="00BE52AF">
        <w:t xml:space="preserve">Living Collections </w:t>
      </w:r>
      <w:r w:rsidRPr="008B3A9D">
        <w:t xml:space="preserve">activities and resources to maximise impact and </w:t>
      </w:r>
      <w:r w:rsidR="00BE52AF">
        <w:t>elevate its conservation horticulture expertise.</w:t>
      </w:r>
    </w:p>
    <w:p w14:paraId="07009038" w14:textId="3145D4D6" w:rsidR="00165354" w:rsidRPr="00165354" w:rsidRDefault="00165354" w:rsidP="00970556">
      <w:pPr>
        <w:pStyle w:val="Heading1"/>
        <w:keepNext/>
        <w:keepLines/>
        <w:widowControl/>
        <w:spacing w:after="200" w:line="276" w:lineRule="auto"/>
        <w:ind w:left="-5"/>
        <w:contextualSpacing/>
        <w:rPr>
          <w:sz w:val="24"/>
          <w:szCs w:val="24"/>
        </w:rPr>
      </w:pPr>
      <w:r w:rsidRPr="00165354">
        <w:rPr>
          <w:sz w:val="24"/>
          <w:szCs w:val="24"/>
        </w:rPr>
        <w:lastRenderedPageBreak/>
        <w:t>Key relationships</w:t>
      </w:r>
      <w:r w:rsidRPr="00165354">
        <w:rPr>
          <w:rFonts w:ascii="Georgia" w:hAnsi="Georgia" w:cs="Georgia"/>
          <w:sz w:val="24"/>
          <w:szCs w:val="24"/>
        </w:rPr>
        <w:t xml:space="preserve"> </w:t>
      </w:r>
    </w:p>
    <w:tbl>
      <w:tblPr>
        <w:tblStyle w:val="TableGrid0"/>
        <w:tblW w:w="10588" w:type="dxa"/>
        <w:tblInd w:w="0" w:type="dxa"/>
        <w:tblCellMar>
          <w:top w:w="102" w:type="dxa"/>
        </w:tblCellMar>
        <w:tblLook w:val="04A0" w:firstRow="1" w:lastRow="0" w:firstColumn="1" w:lastColumn="0" w:noHBand="0" w:noVBand="1"/>
      </w:tblPr>
      <w:tblGrid>
        <w:gridCol w:w="4585"/>
        <w:gridCol w:w="6003"/>
      </w:tblGrid>
      <w:tr w:rsidR="00165354" w14:paraId="1BB7949E" w14:textId="77777777" w:rsidTr="00AC2B5F">
        <w:trPr>
          <w:trHeight w:val="378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D276A"/>
          </w:tcPr>
          <w:p w14:paraId="3BA9680C" w14:textId="69B1CC64" w:rsidR="00165354" w:rsidRDefault="00165354" w:rsidP="00970556">
            <w:pPr>
              <w:keepNext/>
              <w:keepLines/>
              <w:tabs>
                <w:tab w:val="center" w:pos="4225"/>
              </w:tabs>
              <w:spacing w:line="259" w:lineRule="auto"/>
            </w:pPr>
            <w:r>
              <w:rPr>
                <w:b/>
                <w:color w:val="FFFFFF"/>
                <w:sz w:val="20"/>
              </w:rPr>
              <w:t xml:space="preserve">Who 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D276A"/>
          </w:tcPr>
          <w:p w14:paraId="6D096012" w14:textId="77777777" w:rsidR="00165354" w:rsidRDefault="00165354" w:rsidP="00970556">
            <w:pPr>
              <w:keepNext/>
              <w:keepLines/>
              <w:spacing w:line="259" w:lineRule="auto"/>
            </w:pPr>
            <w:r>
              <w:rPr>
                <w:b/>
                <w:color w:val="FFFFFF"/>
                <w:sz w:val="20"/>
              </w:rPr>
              <w:t xml:space="preserve">Why </w:t>
            </w:r>
          </w:p>
        </w:tc>
      </w:tr>
      <w:tr w:rsidR="00165354" w14:paraId="78755E87" w14:textId="77777777" w:rsidTr="00AC2B5F">
        <w:trPr>
          <w:trHeight w:val="377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CBEC0"/>
          </w:tcPr>
          <w:p w14:paraId="6CCD3176" w14:textId="1F8231CC" w:rsidR="00165354" w:rsidRDefault="00165354" w:rsidP="00970556">
            <w:pPr>
              <w:keepNext/>
              <w:keepLines/>
              <w:tabs>
                <w:tab w:val="center" w:pos="4225"/>
              </w:tabs>
              <w:spacing w:line="259" w:lineRule="auto"/>
            </w:pPr>
            <w:r>
              <w:rPr>
                <w:b/>
                <w:sz w:val="20"/>
              </w:rPr>
              <w:t xml:space="preserve">Internal 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CBEC0"/>
          </w:tcPr>
          <w:p w14:paraId="16EF6153" w14:textId="77777777" w:rsidR="00165354" w:rsidRDefault="00165354" w:rsidP="00970556">
            <w:pPr>
              <w:keepNext/>
              <w:keepLines/>
              <w:spacing w:after="160" w:line="259" w:lineRule="auto"/>
            </w:pPr>
          </w:p>
        </w:tc>
      </w:tr>
      <w:tr w:rsidR="00165354" w14:paraId="519E3E97" w14:textId="77777777" w:rsidTr="00735868">
        <w:trPr>
          <w:trHeight w:val="687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BCBEC0"/>
              <w:right w:val="nil"/>
            </w:tcBorders>
          </w:tcPr>
          <w:p w14:paraId="49B855C8" w14:textId="469DE080" w:rsidR="00165354" w:rsidRDefault="00165354" w:rsidP="00970556">
            <w:pPr>
              <w:keepNext/>
              <w:keepLines/>
              <w:spacing w:line="259" w:lineRule="auto"/>
              <w:ind w:left="58"/>
            </w:pPr>
            <w:r>
              <w:rPr>
                <w:sz w:val="20"/>
              </w:rPr>
              <w:t xml:space="preserve">Director, </w:t>
            </w:r>
            <w:r w:rsidR="00887E81">
              <w:rPr>
                <w:sz w:val="20"/>
              </w:rPr>
              <w:t xml:space="preserve">Horticulture &amp; Living Collections </w:t>
            </w:r>
            <w:r w:rsidR="00802B06">
              <w:rPr>
                <w:sz w:val="20"/>
              </w:rPr>
              <w:t xml:space="preserve"> 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BCBEC0"/>
              <w:right w:val="nil"/>
            </w:tcBorders>
          </w:tcPr>
          <w:p w14:paraId="3855E0CF" w14:textId="7CCC081A" w:rsidR="00597550" w:rsidRDefault="003333CC" w:rsidP="00970556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33" w:line="301" w:lineRule="auto"/>
              <w:ind w:left="513"/>
            </w:pPr>
            <w:r w:rsidRPr="00F34C1B">
              <w:rPr>
                <w:sz w:val="20"/>
              </w:rPr>
              <w:t>Advise and support on social and environmental impact strategy, projects and issues.</w:t>
            </w:r>
            <w:r>
              <w:t xml:space="preserve"> </w:t>
            </w:r>
          </w:p>
        </w:tc>
      </w:tr>
      <w:tr w:rsidR="00165354" w14:paraId="0D34CF4C" w14:textId="77777777" w:rsidTr="00AC2B5F">
        <w:trPr>
          <w:trHeight w:val="663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5DBFA7" w14:textId="3A1C38A6" w:rsidR="00165354" w:rsidRDefault="003333CC" w:rsidP="00AC2B5F">
            <w:pPr>
              <w:spacing w:line="259" w:lineRule="auto"/>
              <w:ind w:left="58" w:right="88"/>
            </w:pPr>
            <w:r>
              <w:rPr>
                <w:sz w:val="20"/>
              </w:rPr>
              <w:t>Executive</w:t>
            </w:r>
            <w:r w:rsidR="00B80B9F">
              <w:rPr>
                <w:sz w:val="20"/>
              </w:rPr>
              <w:t xml:space="preserve"> </w:t>
            </w:r>
            <w:r w:rsidR="00165354">
              <w:rPr>
                <w:sz w:val="20"/>
              </w:rPr>
              <w:t xml:space="preserve">Team 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BF82F3" w14:textId="0A4309A1" w:rsidR="003333CC" w:rsidRDefault="003333CC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 w:rsidRPr="003333CC">
              <w:rPr>
                <w:sz w:val="20"/>
              </w:rPr>
              <w:t xml:space="preserve">Advise and support on the development and implementation of </w:t>
            </w:r>
            <w:r w:rsidR="00BE52AF">
              <w:rPr>
                <w:sz w:val="20"/>
              </w:rPr>
              <w:t>Bushfire Recovery at Mount Tomah</w:t>
            </w:r>
            <w:r w:rsidRPr="003333CC">
              <w:rPr>
                <w:sz w:val="20"/>
              </w:rPr>
              <w:t xml:space="preserve">. </w:t>
            </w:r>
          </w:p>
          <w:p w14:paraId="7FF82D84" w14:textId="77777777" w:rsidR="003333CC" w:rsidRDefault="003333CC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 w:rsidRPr="003333CC">
              <w:rPr>
                <w:sz w:val="20"/>
              </w:rPr>
              <w:t xml:space="preserve">Ensure alignment with broader organisation-wide strategies and projects, as appropriate. </w:t>
            </w:r>
          </w:p>
          <w:p w14:paraId="538E17D3" w14:textId="1D216C37" w:rsidR="00165354" w:rsidRPr="00FA5EF6" w:rsidRDefault="003333CC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 w:rsidRPr="003333CC">
              <w:rPr>
                <w:sz w:val="20"/>
              </w:rPr>
              <w:t xml:space="preserve">Work across portfolios to </w:t>
            </w:r>
            <w:r w:rsidR="005036AC">
              <w:rPr>
                <w:sz w:val="20"/>
              </w:rPr>
              <w:t>implement the Living Collections Strategy Action Plan</w:t>
            </w:r>
            <w:r w:rsidRPr="003333CC">
              <w:rPr>
                <w:sz w:val="20"/>
              </w:rPr>
              <w:t>.</w:t>
            </w:r>
          </w:p>
        </w:tc>
      </w:tr>
      <w:tr w:rsidR="00165354" w14:paraId="351D8DE7" w14:textId="77777777" w:rsidTr="00970556">
        <w:trPr>
          <w:trHeight w:val="713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0161B0" w14:textId="79D9E60F" w:rsidR="00165354" w:rsidRDefault="006750CC" w:rsidP="00AC2B5F">
            <w:pPr>
              <w:spacing w:line="259" w:lineRule="auto"/>
              <w:ind w:left="58"/>
            </w:pPr>
            <w:r>
              <w:rPr>
                <w:sz w:val="20"/>
              </w:rPr>
              <w:t>BGS</w:t>
            </w:r>
            <w:r w:rsidR="00B80B9F">
              <w:rPr>
                <w:sz w:val="20"/>
              </w:rPr>
              <w:t xml:space="preserve"> </w:t>
            </w:r>
            <w:r w:rsidR="00165354">
              <w:rPr>
                <w:sz w:val="20"/>
              </w:rPr>
              <w:t xml:space="preserve">– All business levels 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9841B4" w14:textId="64AE9687" w:rsidR="00165354" w:rsidRPr="00FA5EF6" w:rsidRDefault="00165354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 w:rsidRPr="00FE1133">
              <w:rPr>
                <w:sz w:val="20"/>
              </w:rPr>
              <w:t xml:space="preserve">Provide whole of organisation support and strategic direction to ensure organisational improvement </w:t>
            </w:r>
            <w:r w:rsidR="007B6BD8">
              <w:rPr>
                <w:sz w:val="20"/>
              </w:rPr>
              <w:t>in Living C</w:t>
            </w:r>
            <w:r w:rsidR="0085262C">
              <w:rPr>
                <w:sz w:val="20"/>
              </w:rPr>
              <w:t>ollections.</w:t>
            </w:r>
          </w:p>
        </w:tc>
      </w:tr>
      <w:tr w:rsidR="00970556" w:rsidRPr="00970556" w14:paraId="3772B59A" w14:textId="77777777" w:rsidTr="00970556">
        <w:trPr>
          <w:trHeight w:val="582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</w:tcPr>
          <w:p w14:paraId="19857223" w14:textId="007D8C80" w:rsidR="00970556" w:rsidRPr="00970556" w:rsidRDefault="00970556" w:rsidP="00970556">
            <w:pPr>
              <w:keepNext/>
              <w:keepLines/>
              <w:tabs>
                <w:tab w:val="center" w:pos="4225"/>
              </w:tabs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</w:tcPr>
          <w:p w14:paraId="2F785C1E" w14:textId="77777777" w:rsidR="00970556" w:rsidRPr="00970556" w:rsidRDefault="00970556" w:rsidP="00970556">
            <w:pPr>
              <w:keepNext/>
              <w:keepLines/>
              <w:tabs>
                <w:tab w:val="center" w:pos="4225"/>
              </w:tabs>
              <w:spacing w:line="259" w:lineRule="auto"/>
              <w:rPr>
                <w:b/>
                <w:sz w:val="20"/>
              </w:rPr>
            </w:pPr>
          </w:p>
        </w:tc>
      </w:tr>
      <w:tr w:rsidR="003333CC" w14:paraId="17DE7C16" w14:textId="77777777" w:rsidTr="00735868">
        <w:trPr>
          <w:trHeight w:val="582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0944AB" w14:textId="2FB16857" w:rsidR="003333CC" w:rsidRDefault="003333CC" w:rsidP="00AC2B5F">
            <w:pPr>
              <w:spacing w:line="259" w:lineRule="auto"/>
              <w:ind w:left="58"/>
              <w:rPr>
                <w:sz w:val="20"/>
              </w:rPr>
            </w:pPr>
            <w:r>
              <w:rPr>
                <w:sz w:val="20"/>
              </w:rPr>
              <w:t>External Contractors and Consultants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9C225A" w14:textId="6C51EDCF" w:rsidR="003333CC" w:rsidRPr="00FE1133" w:rsidRDefault="003333CC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>
              <w:rPr>
                <w:sz w:val="20"/>
              </w:rPr>
              <w:t>Influence and build collaborative relationships to maximise impact</w:t>
            </w:r>
            <w:r w:rsidR="00A35BDF">
              <w:rPr>
                <w:sz w:val="20"/>
              </w:rPr>
              <w:t xml:space="preserve"> and deliver on project objectives.</w:t>
            </w:r>
          </w:p>
        </w:tc>
      </w:tr>
      <w:tr w:rsidR="00165354" w14:paraId="7DA32B2B" w14:textId="77777777" w:rsidTr="00AC2B5F">
        <w:trPr>
          <w:trHeight w:val="660"/>
        </w:trPr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BCBEC0"/>
              <w:right w:val="nil"/>
            </w:tcBorders>
          </w:tcPr>
          <w:p w14:paraId="4331D1FD" w14:textId="447FF71E" w:rsidR="00165354" w:rsidRDefault="004A61D9" w:rsidP="00AC2B5F">
            <w:pPr>
              <w:spacing w:line="259" w:lineRule="auto"/>
              <w:ind w:left="58"/>
            </w:pPr>
            <w:r>
              <w:rPr>
                <w:sz w:val="20"/>
              </w:rPr>
              <w:t>Stakeholder</w:t>
            </w:r>
            <w:r w:rsidR="003333CC" w:rsidRPr="00F34C1B">
              <w:rPr>
                <w:sz w:val="20"/>
              </w:rPr>
              <w:t xml:space="preserve"> relations</w:t>
            </w:r>
          </w:p>
        </w:tc>
        <w:tc>
          <w:tcPr>
            <w:tcW w:w="6003" w:type="dxa"/>
            <w:tcBorders>
              <w:top w:val="single" w:sz="8" w:space="0" w:color="000000"/>
              <w:left w:val="nil"/>
              <w:bottom w:val="single" w:sz="8" w:space="0" w:color="BCBEC0"/>
              <w:right w:val="nil"/>
            </w:tcBorders>
          </w:tcPr>
          <w:p w14:paraId="6951AE93" w14:textId="7F35ABD5" w:rsidR="00165354" w:rsidRPr="00FA5EF6" w:rsidRDefault="003333CC" w:rsidP="00FA5EF6">
            <w:pPr>
              <w:pStyle w:val="ListParagraph"/>
              <w:numPr>
                <w:ilvl w:val="0"/>
                <w:numId w:val="8"/>
              </w:numPr>
              <w:spacing w:after="33" w:line="301" w:lineRule="auto"/>
              <w:ind w:left="513"/>
              <w:rPr>
                <w:sz w:val="20"/>
              </w:rPr>
            </w:pPr>
            <w:r>
              <w:rPr>
                <w:sz w:val="20"/>
              </w:rPr>
              <w:t xml:space="preserve">Collaborate to advocate for and amplify the Botanic Gardens </w:t>
            </w:r>
            <w:r w:rsidR="004A61D9">
              <w:rPr>
                <w:sz w:val="20"/>
              </w:rPr>
              <w:t xml:space="preserve">contributions to </w:t>
            </w:r>
            <w:r w:rsidR="00A35BDF">
              <w:rPr>
                <w:sz w:val="20"/>
              </w:rPr>
              <w:t xml:space="preserve">plant conservation </w:t>
            </w:r>
            <w:r>
              <w:rPr>
                <w:sz w:val="20"/>
              </w:rPr>
              <w:t xml:space="preserve"> </w:t>
            </w:r>
            <w:r w:rsidR="00165354" w:rsidRPr="00FE1133">
              <w:rPr>
                <w:sz w:val="20"/>
              </w:rPr>
              <w:t xml:space="preserve"> </w:t>
            </w:r>
          </w:p>
        </w:tc>
      </w:tr>
    </w:tbl>
    <w:p w14:paraId="05769979" w14:textId="77777777" w:rsidR="00165354" w:rsidRDefault="00165354" w:rsidP="00970556">
      <w:pPr>
        <w:pStyle w:val="Heading1"/>
        <w:keepNext/>
        <w:keepLines/>
        <w:widowControl/>
        <w:spacing w:before="240" w:after="200" w:line="276" w:lineRule="auto"/>
        <w:ind w:left="-6"/>
        <w:contextualSpacing/>
        <w:rPr>
          <w:sz w:val="24"/>
          <w:szCs w:val="24"/>
        </w:rPr>
      </w:pPr>
      <w:r w:rsidRPr="00165354">
        <w:rPr>
          <w:sz w:val="24"/>
          <w:szCs w:val="24"/>
        </w:rPr>
        <w:t xml:space="preserve">Role dimensions </w:t>
      </w:r>
    </w:p>
    <w:p w14:paraId="31EA75D3" w14:textId="77777777" w:rsidR="00165354" w:rsidRDefault="00715C23" w:rsidP="00715C23">
      <w:pPr>
        <w:spacing w:after="81" w:line="259" w:lineRule="auto"/>
        <w:ind w:left="-5"/>
      </w:pPr>
      <w:r>
        <w:rPr>
          <w:b/>
          <w:color w:val="6D6E71"/>
          <w:sz w:val="24"/>
        </w:rPr>
        <w:t>Decision making</w:t>
      </w:r>
      <w:r w:rsidR="00165354">
        <w:t xml:space="preserve"> </w:t>
      </w:r>
    </w:p>
    <w:p w14:paraId="2FB896B1" w14:textId="75A354B3" w:rsidR="00027C01" w:rsidRDefault="00027C01" w:rsidP="00970556">
      <w:pPr>
        <w:spacing w:after="224"/>
        <w:ind w:left="-5" w:right="137"/>
      </w:pPr>
      <w:r>
        <w:t>The role is expected to operate with a high level of initiative and is fully accountable for the content, accuracy, validity and integrity of the content of advice provided and work performed.</w:t>
      </w:r>
    </w:p>
    <w:p w14:paraId="2515F069" w14:textId="15F5440D" w:rsidR="00165354" w:rsidRDefault="00165354" w:rsidP="00165354">
      <w:pPr>
        <w:spacing w:after="81" w:line="259" w:lineRule="auto"/>
        <w:ind w:left="-5"/>
      </w:pPr>
      <w:r>
        <w:rPr>
          <w:b/>
          <w:color w:val="6D6E71"/>
          <w:sz w:val="24"/>
        </w:rPr>
        <w:t xml:space="preserve">Reporting line </w:t>
      </w:r>
    </w:p>
    <w:p w14:paraId="55B4A696" w14:textId="10937BBB" w:rsidR="00165354" w:rsidRDefault="0044449B" w:rsidP="00165354">
      <w:pPr>
        <w:spacing w:after="224"/>
        <w:ind w:left="-5" w:right="137"/>
      </w:pPr>
      <w:r>
        <w:t>Manager</w:t>
      </w:r>
      <w:r w:rsidR="00165354">
        <w:t xml:space="preserve">, </w:t>
      </w:r>
      <w:r w:rsidR="004A61D9">
        <w:t xml:space="preserve">Living Collections </w:t>
      </w:r>
      <w:r>
        <w:t>and Conservation</w:t>
      </w:r>
    </w:p>
    <w:p w14:paraId="0E67BC69" w14:textId="77777777" w:rsidR="00165354" w:rsidRPr="00970556" w:rsidRDefault="005F7ED0" w:rsidP="005F7ED0">
      <w:pPr>
        <w:spacing w:after="81" w:line="259" w:lineRule="auto"/>
        <w:ind w:left="-5"/>
        <w:rPr>
          <w:b/>
          <w:color w:val="6D6E71"/>
          <w:sz w:val="24"/>
        </w:rPr>
      </w:pPr>
      <w:r>
        <w:rPr>
          <w:b/>
          <w:color w:val="6D6E71"/>
          <w:sz w:val="24"/>
        </w:rPr>
        <w:t>Direct reports</w:t>
      </w:r>
      <w:r w:rsidR="00165354" w:rsidRPr="00970556">
        <w:rPr>
          <w:b/>
          <w:color w:val="6D6E71"/>
          <w:sz w:val="24"/>
        </w:rPr>
        <w:t xml:space="preserve"> </w:t>
      </w:r>
    </w:p>
    <w:p w14:paraId="6A70CD02" w14:textId="7DAA3826" w:rsidR="00177AEA" w:rsidRDefault="004A61D9" w:rsidP="00970556">
      <w:pPr>
        <w:spacing w:after="224"/>
        <w:ind w:left="-5" w:right="137"/>
      </w:pPr>
      <w:r>
        <w:t>Nil</w:t>
      </w:r>
    </w:p>
    <w:p w14:paraId="244C9D24" w14:textId="375BD12D" w:rsidR="00165354" w:rsidRPr="00970556" w:rsidRDefault="00165354" w:rsidP="00165354">
      <w:pPr>
        <w:spacing w:after="81" w:line="259" w:lineRule="auto"/>
        <w:ind w:left="-5"/>
        <w:rPr>
          <w:b/>
          <w:color w:val="6D6E71"/>
          <w:sz w:val="24"/>
        </w:rPr>
      </w:pPr>
      <w:r>
        <w:rPr>
          <w:b/>
          <w:color w:val="6D6E71"/>
          <w:sz w:val="24"/>
        </w:rPr>
        <w:t xml:space="preserve">Budget/Expenditure </w:t>
      </w:r>
    </w:p>
    <w:p w14:paraId="5457CA9E" w14:textId="5306FDDE" w:rsidR="00FE1133" w:rsidRDefault="00542E56" w:rsidP="00970556">
      <w:pPr>
        <w:spacing w:after="224"/>
        <w:ind w:left="-5" w:right="137"/>
      </w:pPr>
      <w:r>
        <w:t>Nil</w:t>
      </w:r>
    </w:p>
    <w:p w14:paraId="4704F587" w14:textId="6F791D21" w:rsidR="00165354" w:rsidRDefault="00165354" w:rsidP="00970556">
      <w:pPr>
        <w:pStyle w:val="Heading1"/>
        <w:keepNext/>
        <w:keepLines/>
        <w:widowControl/>
        <w:spacing w:before="240" w:after="200" w:line="276" w:lineRule="auto"/>
        <w:ind w:left="-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Key knowledge and experience</w:t>
      </w:r>
    </w:p>
    <w:p w14:paraId="6646ADFA" w14:textId="696D5E73" w:rsidR="009E75FA" w:rsidRDefault="009E75FA" w:rsidP="00970556">
      <w:pPr>
        <w:pStyle w:val="ListParagraph"/>
        <w:keepNext/>
        <w:keepLines/>
        <w:widowControl/>
        <w:numPr>
          <w:ilvl w:val="0"/>
          <w:numId w:val="18"/>
        </w:numPr>
        <w:autoSpaceDE/>
        <w:autoSpaceDN/>
        <w:spacing w:before="0" w:after="120" w:line="260" w:lineRule="atLeast"/>
        <w:contextualSpacing/>
      </w:pPr>
      <w:r>
        <w:t xml:space="preserve">A high degree of scientific </w:t>
      </w:r>
      <w:r w:rsidR="004A61D9">
        <w:t xml:space="preserve">and/or horticultural </w:t>
      </w:r>
      <w:r>
        <w:t xml:space="preserve">expertise, understanding of public environmental policy </w:t>
      </w:r>
      <w:r w:rsidR="004A61D9">
        <w:t>and horticultural practices.</w:t>
      </w:r>
    </w:p>
    <w:p w14:paraId="408D314D" w14:textId="33171F5D" w:rsidR="009E75FA" w:rsidRDefault="009E75FA" w:rsidP="00970556">
      <w:pPr>
        <w:pStyle w:val="ListParagraph"/>
        <w:keepNext/>
        <w:keepLines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</w:pPr>
      <w:r>
        <w:t xml:space="preserve">Experience in </w:t>
      </w:r>
      <w:r w:rsidR="00C049B6">
        <w:t>project management</w:t>
      </w:r>
      <w:r w:rsidRPr="00816D14">
        <w:t xml:space="preserve"> </w:t>
      </w:r>
      <w:r w:rsidR="00C049B6">
        <w:t>including</w:t>
      </w:r>
      <w:r w:rsidRPr="00816D14">
        <w:t xml:space="preserve"> consultation, stakeholder engagement, scoping needs, development, implementation and review.</w:t>
      </w:r>
    </w:p>
    <w:p w14:paraId="5B202D06" w14:textId="62DAD283" w:rsidR="0088156A" w:rsidRPr="00722051" w:rsidRDefault="0088156A" w:rsidP="0088156A">
      <w:pPr>
        <w:pStyle w:val="ListParagraph"/>
        <w:numPr>
          <w:ilvl w:val="0"/>
          <w:numId w:val="18"/>
        </w:numPr>
        <w:spacing w:before="100" w:beforeAutospacing="1"/>
        <w:ind w:right="136"/>
      </w:pPr>
      <w:r w:rsidRPr="00722051">
        <w:t xml:space="preserve">Proven experience in developing and implementing </w:t>
      </w:r>
      <w:r w:rsidR="00C049B6">
        <w:t xml:space="preserve">projects and strategies </w:t>
      </w:r>
      <w:r w:rsidRPr="00722051">
        <w:t xml:space="preserve">in complex environments. </w:t>
      </w:r>
    </w:p>
    <w:p w14:paraId="01EF79CC" w14:textId="24BD98CF" w:rsidR="0088156A" w:rsidRDefault="00B1070A" w:rsidP="00B1070A">
      <w:pPr>
        <w:pStyle w:val="ListParagraph"/>
        <w:widowControl/>
        <w:numPr>
          <w:ilvl w:val="0"/>
          <w:numId w:val="18"/>
        </w:numPr>
        <w:autoSpaceDE/>
        <w:autoSpaceDN/>
        <w:spacing w:before="0" w:beforeAutospacing="1" w:after="160" w:line="259" w:lineRule="auto"/>
        <w:ind w:right="136"/>
        <w:contextualSpacing/>
      </w:pPr>
      <w:r>
        <w:t>Understanding</w:t>
      </w:r>
      <w:r w:rsidR="0088156A" w:rsidRPr="00722051">
        <w:t xml:space="preserve"> of environmental</w:t>
      </w:r>
      <w:r>
        <w:t xml:space="preserve"> and biosecurity risks associated with the movement of live plant material nationally and internationally.</w:t>
      </w:r>
    </w:p>
    <w:p w14:paraId="45A7D30C" w14:textId="11C01676" w:rsidR="00165354" w:rsidRDefault="00165354" w:rsidP="00165354">
      <w:pPr>
        <w:pStyle w:val="Heading1"/>
        <w:ind w:left="-5"/>
        <w:rPr>
          <w:sz w:val="24"/>
          <w:szCs w:val="24"/>
        </w:rPr>
      </w:pPr>
      <w:r>
        <w:rPr>
          <w:sz w:val="24"/>
          <w:szCs w:val="24"/>
        </w:rPr>
        <w:t>Essential Requirements</w:t>
      </w:r>
    </w:p>
    <w:p w14:paraId="0859C356" w14:textId="53AE2D82" w:rsidR="00722051" w:rsidRPr="00722051" w:rsidRDefault="00722051" w:rsidP="00722051">
      <w:pPr>
        <w:pStyle w:val="ListParagraph"/>
        <w:numPr>
          <w:ilvl w:val="0"/>
          <w:numId w:val="7"/>
        </w:numPr>
        <w:spacing w:before="100" w:beforeAutospacing="1"/>
        <w:ind w:left="714" w:right="136" w:hanging="357"/>
      </w:pPr>
      <w:r w:rsidRPr="00722051">
        <w:t xml:space="preserve">Tertiary qualifications in a relevant discipline (e.g. </w:t>
      </w:r>
      <w:r w:rsidR="00820479">
        <w:t>horticulture</w:t>
      </w:r>
      <w:r w:rsidRPr="00722051">
        <w:t xml:space="preserve">, environment, </w:t>
      </w:r>
      <w:r w:rsidR="004E40CA">
        <w:t xml:space="preserve">science, </w:t>
      </w:r>
      <w:r w:rsidR="00820479">
        <w:t>project management</w:t>
      </w:r>
      <w:r w:rsidRPr="00722051">
        <w:t xml:space="preserve">, or related field). </w:t>
      </w:r>
    </w:p>
    <w:p w14:paraId="50D7553F" w14:textId="1E188DED" w:rsidR="00722051" w:rsidRPr="00CA6F08" w:rsidRDefault="00722051" w:rsidP="00722051">
      <w:pPr>
        <w:pStyle w:val="ListParagraph"/>
        <w:numPr>
          <w:ilvl w:val="0"/>
          <w:numId w:val="7"/>
        </w:numPr>
        <w:spacing w:before="100" w:beforeAutospacing="1"/>
        <w:ind w:left="714" w:right="136" w:hanging="357"/>
      </w:pPr>
      <w:r>
        <w:t xml:space="preserve">NSW Driver Licence </w:t>
      </w:r>
    </w:p>
    <w:p w14:paraId="2ADBE9CD" w14:textId="68B878D3" w:rsidR="00225C9A" w:rsidRPr="00970556" w:rsidRDefault="00225C9A" w:rsidP="00970556">
      <w:pPr>
        <w:pStyle w:val="Heading1"/>
        <w:keepNext/>
        <w:keepLines/>
        <w:widowControl/>
        <w:spacing w:before="240" w:after="200" w:line="276" w:lineRule="auto"/>
        <w:ind w:left="-6"/>
        <w:contextualSpacing/>
        <w:rPr>
          <w:sz w:val="24"/>
          <w:szCs w:val="24"/>
        </w:rPr>
      </w:pPr>
      <w:r w:rsidRPr="00970556">
        <w:rPr>
          <w:sz w:val="24"/>
          <w:szCs w:val="24"/>
        </w:rPr>
        <w:t>Capabilities for the role</w:t>
      </w:r>
    </w:p>
    <w:p w14:paraId="51A522A1" w14:textId="77777777" w:rsidR="00225C9A" w:rsidRPr="00175AAF" w:rsidRDefault="00225C9A" w:rsidP="00225C9A">
      <w:r w:rsidRPr="00175AAF">
        <w:t xml:space="preserve">The </w:t>
      </w:r>
      <w:hyperlink r:id="rId11" w:history="1">
        <w:r>
          <w:rPr>
            <w:rStyle w:val="Hyperlink"/>
          </w:rPr>
          <w:t>NSW public sector capability framework</w:t>
        </w:r>
      </w:hyperlink>
      <w:r>
        <w:t xml:space="preserve"> describes the capabilities (knowledge, skills and abilities) needed to perform a role. There are four main groups of capabilities: </w:t>
      </w:r>
      <w:r w:rsidRPr="00175AAF">
        <w:t>personal attributes</w:t>
      </w:r>
      <w:r>
        <w:t xml:space="preserve">, </w:t>
      </w:r>
      <w:r w:rsidRPr="00175AAF">
        <w:t>relationships</w:t>
      </w:r>
      <w:r>
        <w:t xml:space="preserve">, </w:t>
      </w:r>
      <w:r w:rsidRPr="00175AAF">
        <w:t>results</w:t>
      </w:r>
      <w:r>
        <w:t xml:space="preserve"> and </w:t>
      </w:r>
      <w:r w:rsidRPr="00175AAF">
        <w:t>business enablers</w:t>
      </w:r>
      <w:r>
        <w:t xml:space="preserve">, with a fifth </w:t>
      </w:r>
      <w:r w:rsidRPr="00175AAF">
        <w:t>people management</w:t>
      </w:r>
      <w:r>
        <w:t xml:space="preserve"> group of capabilities for roles with managerial responsibilities. These groups, combined with capabilities drawn from occupation-specific capability sets where relevant, work together to provide an </w:t>
      </w:r>
      <w:r w:rsidRPr="00175AAF">
        <w:t>understanding of the capabilities needed for the role.</w:t>
      </w:r>
    </w:p>
    <w:p w14:paraId="472E6D6E" w14:textId="77777777" w:rsidR="00225C9A" w:rsidRPr="00175AAF" w:rsidRDefault="00225C9A" w:rsidP="00225C9A">
      <w:r w:rsidRPr="008D00EC">
        <w:t xml:space="preserve">The capabilities are separated into </w:t>
      </w:r>
      <w:r w:rsidRPr="003927AE">
        <w:rPr>
          <w:b/>
        </w:rPr>
        <w:t>focus capabilities</w:t>
      </w:r>
      <w:r w:rsidRPr="00175AAF">
        <w:t xml:space="preserve"> and </w:t>
      </w:r>
      <w:r w:rsidRPr="003927AE">
        <w:rPr>
          <w:b/>
        </w:rPr>
        <w:t>complementary capabilities</w:t>
      </w:r>
      <w:r w:rsidRPr="00175AAF">
        <w:t xml:space="preserve">. </w:t>
      </w:r>
    </w:p>
    <w:p w14:paraId="4A475833" w14:textId="77777777" w:rsidR="00225C9A" w:rsidRPr="00225C9A" w:rsidRDefault="00225C9A" w:rsidP="00970556">
      <w:pPr>
        <w:pStyle w:val="Heading1"/>
        <w:keepNext/>
        <w:keepLines/>
        <w:widowControl/>
        <w:spacing w:before="240" w:after="200" w:line="276" w:lineRule="auto"/>
        <w:ind w:left="-6"/>
        <w:contextualSpacing/>
        <w:rPr>
          <w:sz w:val="24"/>
          <w:szCs w:val="24"/>
        </w:rPr>
      </w:pPr>
      <w:r w:rsidRPr="00225C9A">
        <w:rPr>
          <w:sz w:val="24"/>
          <w:szCs w:val="24"/>
        </w:rPr>
        <w:t>Focus capabilities</w:t>
      </w:r>
    </w:p>
    <w:p w14:paraId="2E0F752B" w14:textId="77777777" w:rsidR="00225C9A" w:rsidRDefault="00225C9A" w:rsidP="00225C9A">
      <w:pPr>
        <w:pStyle w:val="PlainText"/>
        <w:spacing w:before="62" w:line="276" w:lineRule="auto"/>
        <w:rPr>
          <w:rFonts w:ascii="Arial" w:hAnsi="Arial"/>
          <w:szCs w:val="22"/>
          <w:lang w:val="en-US"/>
        </w:rPr>
      </w:pPr>
      <w:r>
        <w:rPr>
          <w:rFonts w:ascii="Arial" w:hAnsi="Arial"/>
          <w:i/>
          <w:szCs w:val="22"/>
          <w:lang w:val="en-US"/>
        </w:rPr>
        <w:t>Focus capabilities</w:t>
      </w:r>
      <w:r>
        <w:rPr>
          <w:rFonts w:ascii="Arial" w:hAnsi="Arial"/>
          <w:szCs w:val="22"/>
          <w:lang w:val="en-US"/>
        </w:rPr>
        <w:t xml:space="preserve"> are the capabilities considered the most important for effective performance of the role. These capabilities will be assessed at recruitment. </w:t>
      </w:r>
    </w:p>
    <w:p w14:paraId="220EC7E4" w14:textId="77777777" w:rsidR="00225C9A" w:rsidRDefault="00225C9A" w:rsidP="00225C9A">
      <w:pPr>
        <w:pStyle w:val="PlainText"/>
        <w:spacing w:before="62" w:line="276" w:lineRule="auto"/>
        <w:rPr>
          <w:rFonts w:ascii="Arial" w:hAnsi="Arial"/>
          <w:szCs w:val="22"/>
          <w:lang w:val="en-US"/>
        </w:rPr>
      </w:pPr>
      <w:r w:rsidRPr="004D15E4">
        <w:rPr>
          <w:rFonts w:ascii="Arial" w:hAnsi="Arial"/>
          <w:szCs w:val="22"/>
          <w:lang w:val="en-US"/>
        </w:rPr>
        <w:t>The focus capabilities for this role are shown below with a brief explanation of what each capability covers and the indicators describing the types of behaviours</w:t>
      </w:r>
      <w:r>
        <w:rPr>
          <w:rFonts w:ascii="Arial" w:hAnsi="Arial"/>
          <w:szCs w:val="22"/>
          <w:lang w:val="en-US"/>
        </w:rPr>
        <w:t xml:space="preserve"> </w:t>
      </w:r>
      <w:r w:rsidRPr="004D15E4">
        <w:rPr>
          <w:rFonts w:ascii="Arial" w:hAnsi="Arial"/>
          <w:szCs w:val="22"/>
          <w:lang w:val="en-US"/>
        </w:rPr>
        <w:t xml:space="preserve">expected at </w:t>
      </w:r>
      <w:r>
        <w:rPr>
          <w:rFonts w:ascii="Arial" w:hAnsi="Arial"/>
          <w:szCs w:val="22"/>
          <w:lang w:val="en-US"/>
        </w:rPr>
        <w:t>each</w:t>
      </w:r>
      <w:r w:rsidRPr="004D15E4">
        <w:rPr>
          <w:rFonts w:ascii="Arial" w:hAnsi="Arial"/>
          <w:szCs w:val="22"/>
          <w:lang w:val="en-US"/>
        </w:rPr>
        <w:t xml:space="preserve"> level.</w:t>
      </w:r>
    </w:p>
    <w:tbl>
      <w:tblPr>
        <w:tblStyle w:val="PSCPurple"/>
        <w:tblW w:w="10753" w:type="dxa"/>
        <w:jc w:val="center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881"/>
        <w:gridCol w:w="90"/>
        <w:gridCol w:w="4770"/>
        <w:gridCol w:w="1606"/>
      </w:tblGrid>
      <w:tr w:rsidR="00225C9A" w:rsidRPr="00C978B9" w14:paraId="74F3613C" w14:textId="77777777" w:rsidTr="00FA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406" w:type="dxa"/>
            <w:tcBorders>
              <w:bottom w:val="single" w:sz="12" w:space="0" w:color="auto"/>
            </w:tcBorders>
            <w:shd w:val="clear" w:color="auto" w:fill="BCBEC0"/>
            <w:vAlign w:val="center"/>
          </w:tcPr>
          <w:p w14:paraId="28196387" w14:textId="77777777" w:rsidR="00225C9A" w:rsidRPr="00C978B9" w:rsidRDefault="00225C9A" w:rsidP="00FA5EF6">
            <w:pPr>
              <w:pStyle w:val="TableText"/>
              <w:rPr>
                <w:b/>
                <w:sz w:val="24"/>
                <w:szCs w:val="24"/>
              </w:rPr>
            </w:pPr>
            <w:r>
              <w:rPr>
                <w:b/>
              </w:rPr>
              <w:t>Capability group/sets</w:t>
            </w:r>
          </w:p>
        </w:tc>
        <w:tc>
          <w:tcPr>
            <w:tcW w:w="2881" w:type="dxa"/>
            <w:tcBorders>
              <w:bottom w:val="single" w:sz="12" w:space="0" w:color="auto"/>
            </w:tcBorders>
            <w:shd w:val="clear" w:color="auto" w:fill="BCBEC0"/>
          </w:tcPr>
          <w:p w14:paraId="710BF4F4" w14:textId="77777777" w:rsidR="00225C9A" w:rsidRPr="00C978B9" w:rsidRDefault="00225C9A" w:rsidP="00FA5EF6">
            <w:pPr>
              <w:pStyle w:val="TableText"/>
              <w:rPr>
                <w:b/>
                <w:sz w:val="24"/>
                <w:szCs w:val="24"/>
              </w:rPr>
            </w:pPr>
            <w:r w:rsidRPr="00021C23">
              <w:rPr>
                <w:b/>
              </w:rPr>
              <w:t>Ca</w:t>
            </w:r>
            <w:r>
              <w:rPr>
                <w:b/>
              </w:rPr>
              <w:t>pability name</w:t>
            </w:r>
          </w:p>
        </w:tc>
        <w:tc>
          <w:tcPr>
            <w:tcW w:w="90" w:type="dxa"/>
            <w:tcBorders>
              <w:bottom w:val="single" w:sz="12" w:space="0" w:color="auto"/>
            </w:tcBorders>
            <w:shd w:val="clear" w:color="auto" w:fill="BCBEC0"/>
          </w:tcPr>
          <w:p w14:paraId="72C11658" w14:textId="77777777" w:rsidR="00225C9A" w:rsidRDefault="00225C9A" w:rsidP="00FA5EF6">
            <w:pPr>
              <w:pStyle w:val="TableText"/>
              <w:rPr>
                <w:b/>
              </w:rPr>
            </w:pPr>
          </w:p>
        </w:tc>
        <w:tc>
          <w:tcPr>
            <w:tcW w:w="4770" w:type="dxa"/>
            <w:tcBorders>
              <w:bottom w:val="single" w:sz="12" w:space="0" w:color="auto"/>
            </w:tcBorders>
            <w:shd w:val="clear" w:color="auto" w:fill="BCBEC0"/>
          </w:tcPr>
          <w:p w14:paraId="748328C6" w14:textId="77777777" w:rsidR="00225C9A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Behavioural indicators</w:t>
            </w:r>
          </w:p>
        </w:tc>
        <w:tc>
          <w:tcPr>
            <w:tcW w:w="1606" w:type="dxa"/>
            <w:tcBorders>
              <w:bottom w:val="single" w:sz="12" w:space="0" w:color="auto"/>
            </w:tcBorders>
            <w:shd w:val="clear" w:color="auto" w:fill="BCBEC0"/>
          </w:tcPr>
          <w:p w14:paraId="66C0290A" w14:textId="77777777" w:rsidR="00225C9A" w:rsidRDefault="00225C9A" w:rsidP="00FA5EF6">
            <w:pPr>
              <w:pStyle w:val="TableText"/>
              <w:jc w:val="both"/>
              <w:rPr>
                <w:b/>
              </w:rPr>
            </w:pPr>
            <w:r>
              <w:rPr>
                <w:b/>
              </w:rPr>
              <w:t xml:space="preserve">Level </w:t>
            </w:r>
          </w:p>
        </w:tc>
      </w:tr>
      <w:tr w:rsidR="00225C9A" w:rsidRPr="00C978B9" w14:paraId="7FCF4200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37E63D9F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23DB4536" wp14:editId="5A2321A8">
                  <wp:extent cx="847725" cy="847725"/>
                  <wp:effectExtent l="0" t="0" r="9525" b="9525"/>
                  <wp:docPr id="9278" name="Picture 9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16D6DC4C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Manage Self</w:t>
            </w:r>
          </w:p>
          <w:p w14:paraId="4BCE19CA" w14:textId="77777777" w:rsidR="00225C9A" w:rsidRPr="00AA57E3" w:rsidRDefault="00225C9A" w:rsidP="00FA5EF6">
            <w:pPr>
              <w:pStyle w:val="TableText"/>
            </w:pPr>
            <w:r>
              <w:t>Show drive and motivation, an ability to self-reflect and a commitment to learning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3CC02D7B" w14:textId="77777777" w:rsidR="00225C9A" w:rsidRPr="00AA57E3" w:rsidRDefault="00225C9A" w:rsidP="00FA5EF6">
            <w:pPr>
              <w:pStyle w:val="TableBullet"/>
            </w:pPr>
            <w:r>
              <w:t>Keep up to date with relevant contemporary knowledge and practices</w:t>
            </w:r>
          </w:p>
          <w:p w14:paraId="339D8C05" w14:textId="77777777" w:rsidR="00225C9A" w:rsidRPr="00AA57E3" w:rsidRDefault="00225C9A" w:rsidP="00FA5EF6">
            <w:pPr>
              <w:pStyle w:val="TableBullet"/>
            </w:pPr>
            <w:r>
              <w:t>Look for and take advantage of opportunities to learn new skills and develop strengths</w:t>
            </w:r>
          </w:p>
          <w:p w14:paraId="3E116878" w14:textId="77777777" w:rsidR="00225C9A" w:rsidRPr="00AA57E3" w:rsidRDefault="00225C9A" w:rsidP="00FA5EF6">
            <w:pPr>
              <w:pStyle w:val="TableBullet"/>
            </w:pPr>
            <w:r>
              <w:t>Show commitment to achieving challenging goals</w:t>
            </w:r>
          </w:p>
          <w:p w14:paraId="3CE19677" w14:textId="77777777" w:rsidR="00225C9A" w:rsidRPr="00AA57E3" w:rsidRDefault="00225C9A" w:rsidP="00FA5EF6">
            <w:pPr>
              <w:pStyle w:val="TableBullet"/>
            </w:pPr>
            <w:r>
              <w:t>Examine and reflect on own performance</w:t>
            </w:r>
          </w:p>
          <w:p w14:paraId="35562906" w14:textId="77777777" w:rsidR="00225C9A" w:rsidRPr="00AA57E3" w:rsidRDefault="00225C9A" w:rsidP="00FA5EF6">
            <w:pPr>
              <w:pStyle w:val="TableBullet"/>
            </w:pPr>
            <w:r>
              <w:t>Seek and respond positively to constructive feedback and guidance</w:t>
            </w:r>
          </w:p>
          <w:p w14:paraId="4570A432" w14:textId="77777777" w:rsidR="00225C9A" w:rsidRPr="00AA57E3" w:rsidRDefault="00225C9A" w:rsidP="00FA5EF6">
            <w:pPr>
              <w:pStyle w:val="TableBullet"/>
            </w:pPr>
            <w:r>
              <w:t>Demonstrate and maintain a high level of personal motivation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0D57E3EA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3E06F3A7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4D23EA78" w14:textId="77777777" w:rsidR="00225C9A" w:rsidRPr="00C978B9" w:rsidRDefault="00225C9A" w:rsidP="00FA5EF6"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0BC0778F" wp14:editId="71B75AB3">
                  <wp:extent cx="847725" cy="847725"/>
                  <wp:effectExtent l="0" t="0" r="9525" b="9525"/>
                  <wp:docPr id="9277" name="Picture 9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75E6C9CB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Communicate Effectively</w:t>
            </w:r>
          </w:p>
          <w:p w14:paraId="31D86689" w14:textId="77777777" w:rsidR="00225C9A" w:rsidRPr="00AA57E3" w:rsidRDefault="00225C9A" w:rsidP="00FA5EF6">
            <w:pPr>
              <w:pStyle w:val="TableText"/>
            </w:pPr>
            <w:r>
              <w:t>Communicate clearly, actively listen to others, and respond with understanding and respect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55E25DED" w14:textId="77777777" w:rsidR="00225C9A" w:rsidRPr="00AA57E3" w:rsidRDefault="00225C9A" w:rsidP="00FA5EF6">
            <w:pPr>
              <w:pStyle w:val="TableBullet"/>
            </w:pPr>
            <w:r>
              <w:t>Present with credibility, engage diverse audiences and test levels of understanding</w:t>
            </w:r>
          </w:p>
          <w:p w14:paraId="683A23DD" w14:textId="77777777" w:rsidR="00225C9A" w:rsidRPr="00AA57E3" w:rsidRDefault="00225C9A" w:rsidP="00FA5EF6">
            <w:pPr>
              <w:pStyle w:val="TableBullet"/>
            </w:pPr>
            <w:r>
              <w:t>Translate technical and complex information clearly and concisely for diverse audiences</w:t>
            </w:r>
          </w:p>
          <w:p w14:paraId="197EBC2A" w14:textId="77777777" w:rsidR="00225C9A" w:rsidRPr="00AA57E3" w:rsidRDefault="00225C9A" w:rsidP="00FA5EF6">
            <w:pPr>
              <w:pStyle w:val="TableBullet"/>
            </w:pPr>
            <w:r>
              <w:t>Create opportunities for others to contribute to discussion and debate</w:t>
            </w:r>
          </w:p>
          <w:p w14:paraId="2E0559CC" w14:textId="77777777" w:rsidR="00225C9A" w:rsidRPr="00AA57E3" w:rsidRDefault="00225C9A" w:rsidP="00FA5EF6">
            <w:pPr>
              <w:pStyle w:val="TableBullet"/>
            </w:pPr>
            <w:r>
              <w:t>Contribute to and promote information sharing across the organisation</w:t>
            </w:r>
          </w:p>
          <w:p w14:paraId="1E52A5FA" w14:textId="77777777" w:rsidR="00225C9A" w:rsidRPr="00AA57E3" w:rsidRDefault="00225C9A" w:rsidP="00FA5EF6">
            <w:pPr>
              <w:pStyle w:val="TableBullet"/>
            </w:pPr>
            <w:r>
              <w:t>Manage complex communications that involve understanding and responding to multiple and divergent viewpoints</w:t>
            </w:r>
          </w:p>
          <w:p w14:paraId="63B62A81" w14:textId="77777777" w:rsidR="00225C9A" w:rsidRPr="00AA57E3" w:rsidRDefault="00225C9A" w:rsidP="00FA5EF6">
            <w:pPr>
              <w:pStyle w:val="TableBullet"/>
            </w:pPr>
            <w:r>
              <w:t>Explore creative ways to engage diverse audiences and communicate information</w:t>
            </w:r>
          </w:p>
          <w:p w14:paraId="5E898A07" w14:textId="77777777" w:rsidR="00225C9A" w:rsidRPr="00AA57E3" w:rsidRDefault="00225C9A" w:rsidP="00FA5EF6">
            <w:pPr>
              <w:pStyle w:val="TableBullet"/>
            </w:pPr>
            <w:r>
              <w:t>Adjust style and approach to optimise outcomes</w:t>
            </w:r>
          </w:p>
          <w:p w14:paraId="5D810F59" w14:textId="07AD135F" w:rsidR="00BE09FE" w:rsidRPr="00AA57E3" w:rsidRDefault="00225C9A" w:rsidP="00FA5EF6">
            <w:pPr>
              <w:pStyle w:val="TableBullet"/>
            </w:pPr>
            <w:r>
              <w:t>Write fluently and persuasively in plain English and in a range of styles and formats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3B36BD3F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Advanced</w:t>
            </w:r>
          </w:p>
        </w:tc>
      </w:tr>
      <w:tr w:rsidR="00225C9A" w:rsidRPr="00C978B9" w14:paraId="6C1936EF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2BBE185F" w14:textId="450D6B6C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EDEF496" wp14:editId="3A59FCFA">
                  <wp:extent cx="847725" cy="847725"/>
                  <wp:effectExtent l="0" t="0" r="9525" b="9525"/>
                  <wp:docPr id="1364112395" name="Picture 1364112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36B9D206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Work Collaboratively</w:t>
            </w:r>
          </w:p>
          <w:p w14:paraId="11BAFE09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t>Collaborate with others and value their contribution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4DB0482E" w14:textId="77777777" w:rsidR="00225C9A" w:rsidRDefault="00225C9A" w:rsidP="00FA5EF6">
            <w:pPr>
              <w:pStyle w:val="TableBullet"/>
            </w:pPr>
            <w:r>
              <w:t>Encourage a culture that recognises the value of collaboration</w:t>
            </w:r>
          </w:p>
          <w:p w14:paraId="7ECDED4A" w14:textId="77777777" w:rsidR="00225C9A" w:rsidRDefault="00225C9A" w:rsidP="00FA5EF6">
            <w:pPr>
              <w:pStyle w:val="TableBullet"/>
            </w:pPr>
            <w:r>
              <w:t>Build cooperation and overcome barriers to information sharing and communication across teams and units</w:t>
            </w:r>
          </w:p>
          <w:p w14:paraId="3D153541" w14:textId="77777777" w:rsidR="00225C9A" w:rsidRDefault="00225C9A" w:rsidP="00FA5EF6">
            <w:pPr>
              <w:pStyle w:val="TableBullet"/>
            </w:pPr>
            <w:r>
              <w:t>Share lessons learned across teams and units</w:t>
            </w:r>
          </w:p>
          <w:p w14:paraId="71A8E4BD" w14:textId="77777777" w:rsidR="00225C9A" w:rsidRDefault="00225C9A" w:rsidP="00FA5EF6">
            <w:pPr>
              <w:pStyle w:val="TableBullet"/>
            </w:pPr>
            <w:r>
              <w:t>Identify opportunities to leverage the strengths of others to solve issues and develop better processes and approaches to work</w:t>
            </w:r>
          </w:p>
          <w:p w14:paraId="775C169A" w14:textId="77777777" w:rsidR="00225C9A" w:rsidRDefault="00225C9A" w:rsidP="00FA5EF6">
            <w:pPr>
              <w:pStyle w:val="TableBullet"/>
            </w:pPr>
            <w:r>
              <w:t>Actively use collaboration tools, including digital technologies, to engage diverse audiences in solving problems and improving services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22DBFA2C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1E9C758A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1E5D5D92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221F763F" wp14:editId="2C08140C">
                  <wp:extent cx="847725" cy="847725"/>
                  <wp:effectExtent l="0" t="0" r="9525" b="9525"/>
                  <wp:docPr id="9276" name="Picture 9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7EDB6F7E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Deliver Results</w:t>
            </w:r>
          </w:p>
          <w:p w14:paraId="43514396" w14:textId="77777777" w:rsidR="00225C9A" w:rsidRPr="00AA57E3" w:rsidRDefault="00225C9A" w:rsidP="00FA5EF6">
            <w:pPr>
              <w:pStyle w:val="TableText"/>
            </w:pPr>
            <w:r>
              <w:t>Achieve results through the efficient use of resources and a commitment to quality outcomes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1F9AB36D" w14:textId="77777777" w:rsidR="00225C9A" w:rsidRPr="00AA57E3" w:rsidRDefault="00225C9A" w:rsidP="00FA5EF6">
            <w:pPr>
              <w:pStyle w:val="TableBullet"/>
            </w:pPr>
            <w:r>
              <w:t>Use own and others’ expertise to achieve outcomes, and take responsibility for delivering intended outcomes</w:t>
            </w:r>
          </w:p>
          <w:p w14:paraId="0CE21F96" w14:textId="77777777" w:rsidR="00225C9A" w:rsidRPr="00AA57E3" w:rsidRDefault="00225C9A" w:rsidP="00FA5EF6">
            <w:pPr>
              <w:pStyle w:val="TableBullet"/>
            </w:pPr>
            <w:r>
              <w:t>Make sure staff understand expected goals and acknowledge staff success in achieving these</w:t>
            </w:r>
          </w:p>
          <w:p w14:paraId="59E27FCD" w14:textId="77777777" w:rsidR="00225C9A" w:rsidRPr="00AA57E3" w:rsidRDefault="00225C9A" w:rsidP="00FA5EF6">
            <w:pPr>
              <w:pStyle w:val="TableBullet"/>
            </w:pPr>
            <w:r>
              <w:t>Identify resource needs and ensure goals are achieved within set budgets and deadlines</w:t>
            </w:r>
          </w:p>
          <w:p w14:paraId="614DD228" w14:textId="77777777" w:rsidR="00225C9A" w:rsidRPr="00AA57E3" w:rsidRDefault="00225C9A" w:rsidP="00FA5EF6">
            <w:pPr>
              <w:pStyle w:val="TableBullet"/>
            </w:pPr>
            <w:r>
              <w:t>Use business data to evaluate outcomes and inform continuous improvement</w:t>
            </w:r>
          </w:p>
          <w:p w14:paraId="01843DF3" w14:textId="77777777" w:rsidR="00225C9A" w:rsidRPr="00AA57E3" w:rsidRDefault="00225C9A" w:rsidP="00FA5EF6">
            <w:pPr>
              <w:pStyle w:val="TableBullet"/>
            </w:pPr>
            <w:r>
              <w:t>Identify priorities that need to change and ensure the allocation of resources meets new business needs</w:t>
            </w:r>
          </w:p>
          <w:p w14:paraId="49493897" w14:textId="77777777" w:rsidR="00225C9A" w:rsidRPr="00AA57E3" w:rsidRDefault="00225C9A" w:rsidP="00FA5EF6">
            <w:pPr>
              <w:pStyle w:val="TableBullet"/>
            </w:pPr>
            <w:r>
              <w:t>Ensure that the financial implications of changed priorities are explicit and budgeted for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190CE43B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177E6D6C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7355FB42" w14:textId="21F0004E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0F488708" wp14:editId="6C70F773">
                  <wp:extent cx="847725" cy="847725"/>
                  <wp:effectExtent l="0" t="0" r="9525" b="9525"/>
                  <wp:docPr id="284429829" name="Picture 284429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449501CC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Plan and Prioritise</w:t>
            </w:r>
          </w:p>
          <w:p w14:paraId="2372BB77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t>Plan to achieve priority outcomes and respond flexibly to changing circumstances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038E7B3B" w14:textId="77777777" w:rsidR="00225C9A" w:rsidRDefault="00225C9A" w:rsidP="00FA5EF6">
            <w:pPr>
              <w:pStyle w:val="TableBullet"/>
            </w:pPr>
            <w:r>
              <w:t>Understand the links between the business unit, organisation and the whole-of-government agenda</w:t>
            </w:r>
          </w:p>
          <w:p w14:paraId="0C1A465A" w14:textId="77777777" w:rsidR="00225C9A" w:rsidRDefault="00225C9A" w:rsidP="00FA5EF6">
            <w:pPr>
              <w:pStyle w:val="TableBullet"/>
            </w:pPr>
            <w:r>
              <w:t>Ensure business plan goals are clear and appropriate and include contingency provisions</w:t>
            </w:r>
          </w:p>
          <w:p w14:paraId="67099BD9" w14:textId="77777777" w:rsidR="00225C9A" w:rsidRDefault="00225C9A" w:rsidP="00FA5EF6">
            <w:pPr>
              <w:pStyle w:val="TableBullet"/>
            </w:pPr>
            <w:r>
              <w:t>Monitor the progress of initiatives and make necessary adjustments</w:t>
            </w:r>
          </w:p>
          <w:p w14:paraId="76ACB3AA" w14:textId="77777777" w:rsidR="00225C9A" w:rsidRDefault="00225C9A" w:rsidP="00FA5EF6">
            <w:pPr>
              <w:pStyle w:val="TableBullet"/>
            </w:pPr>
            <w:r>
              <w:t>Anticipate and assess the impact of changes, including government policy and economic conditions, on business plans and initiatives and respond appropriately</w:t>
            </w:r>
          </w:p>
          <w:p w14:paraId="5A7566CF" w14:textId="77777777" w:rsidR="00225C9A" w:rsidRDefault="00225C9A" w:rsidP="00FA5EF6">
            <w:pPr>
              <w:pStyle w:val="TableBullet"/>
            </w:pPr>
            <w:r>
              <w:t>Consider the implications of a wide range of complex issues and shift business priorities when necessary</w:t>
            </w:r>
          </w:p>
          <w:p w14:paraId="64F5FC52" w14:textId="77777777" w:rsidR="00225C9A" w:rsidRDefault="00225C9A" w:rsidP="00FA5EF6">
            <w:pPr>
              <w:pStyle w:val="TableBullet"/>
            </w:pPr>
            <w:r>
              <w:t>Undertake planning to help the organisation transition through change initiatives, and evaluate progress and outcomes to inform future planning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4BDDCFEC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Advanced</w:t>
            </w:r>
          </w:p>
        </w:tc>
      </w:tr>
      <w:tr w:rsidR="007D4B34" w:rsidRPr="00C978B9" w14:paraId="17971FBA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4540E362" w14:textId="1B06581C" w:rsidR="007D4B34" w:rsidRDefault="007D4B34" w:rsidP="00FA5EF6">
            <w:pPr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D6EDE9F" wp14:editId="78226254">
                  <wp:extent cx="847725" cy="847725"/>
                  <wp:effectExtent l="0" t="0" r="9525" b="9525"/>
                  <wp:docPr id="2129889485" name="Picture 2129889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032E5F88" w14:textId="77777777" w:rsidR="007D4B34" w:rsidRDefault="00E32B03" w:rsidP="00FA5EF6">
            <w:pPr>
              <w:pStyle w:val="TableText"/>
              <w:rPr>
                <w:b/>
              </w:rPr>
            </w:pPr>
            <w:r w:rsidRPr="00E32B03">
              <w:rPr>
                <w:b/>
              </w:rPr>
              <w:t>Procurement and Contract Management</w:t>
            </w:r>
          </w:p>
          <w:p w14:paraId="655FFE31" w14:textId="27066176" w:rsidR="00E32B03" w:rsidRPr="00CC4FF5" w:rsidRDefault="00CC4FF5" w:rsidP="00FA5EF6">
            <w:pPr>
              <w:pStyle w:val="TableText"/>
              <w:rPr>
                <w:bCs/>
              </w:rPr>
            </w:pPr>
            <w:r w:rsidRPr="00CC4FF5">
              <w:rPr>
                <w:bCs/>
                <w:lang w:bidi="en-AU"/>
              </w:rPr>
              <w:t>Understand and apply procurement processes to ensure effective purchasing and contract performance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2934ECDB" w14:textId="77777777" w:rsidR="00CA6F08" w:rsidRPr="00CA6F08" w:rsidRDefault="00CA6F08" w:rsidP="00CA6F08">
            <w:pPr>
              <w:pStyle w:val="TableBullet"/>
            </w:pPr>
            <w:r w:rsidRPr="00CA6F08">
              <w:t xml:space="preserve">Apply legal, policy and organisational guidelines and procedures relating to procurement and contract management </w:t>
            </w:r>
          </w:p>
          <w:p w14:paraId="6E6F43E1" w14:textId="77777777" w:rsidR="00CA6F08" w:rsidRPr="00CA6F08" w:rsidRDefault="00CA6F08" w:rsidP="00CA6F08">
            <w:pPr>
              <w:pStyle w:val="TableBullet"/>
            </w:pPr>
            <w:r w:rsidRPr="00CA6F08">
              <w:t xml:space="preserve">Develop well-written, well-structured procurement documentation that clearly sets out the business requirements </w:t>
            </w:r>
          </w:p>
          <w:p w14:paraId="3D8C0307" w14:textId="77777777" w:rsidR="00CA6F08" w:rsidRPr="00CA6F08" w:rsidRDefault="00CA6F08" w:rsidP="00CA6F08">
            <w:pPr>
              <w:pStyle w:val="TableBullet"/>
            </w:pPr>
            <w:r w:rsidRPr="00CA6F08">
              <w:t xml:space="preserve">Monitor procurement and contract management processes to ensure they are open, transparent and competitive </w:t>
            </w:r>
          </w:p>
          <w:p w14:paraId="3F5CF9C9" w14:textId="77777777" w:rsidR="00CA6F08" w:rsidRPr="00CA6F08" w:rsidRDefault="00CA6F08" w:rsidP="00CA6F08">
            <w:pPr>
              <w:pStyle w:val="TableBullet"/>
            </w:pPr>
            <w:r w:rsidRPr="00CA6F08">
              <w:t xml:space="preserve">Be aware of procurement and contract management risks, and actions to manage or mitigate risk in monitoring contract performance </w:t>
            </w:r>
          </w:p>
          <w:p w14:paraId="6CE7707B" w14:textId="77777777" w:rsidR="00CA6F08" w:rsidRPr="00CA6F08" w:rsidRDefault="00CA6F08" w:rsidP="00CA6F08">
            <w:pPr>
              <w:pStyle w:val="TableBullet"/>
            </w:pPr>
            <w:r w:rsidRPr="00CA6F08">
              <w:t xml:space="preserve">Evaluate tenders and select providers in an objective and rigorous way, in line with established guidelines and principles </w:t>
            </w:r>
          </w:p>
          <w:p w14:paraId="2EA7849B" w14:textId="05D2FE12" w:rsidR="007D4B34" w:rsidRDefault="00CA6F08" w:rsidP="00CA6F08">
            <w:pPr>
              <w:pStyle w:val="TableBullet"/>
            </w:pPr>
            <w:r w:rsidRPr="00CA6F08">
              <w:rPr>
                <w:lang w:bidi="en-AU"/>
              </w:rPr>
              <w:t>Escalate procurement and contract management issues, where required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6B96E9E0" w14:textId="72DB33D8" w:rsidR="007D4B34" w:rsidRDefault="00574ADF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3EC3D25B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68389628" w14:textId="77777777" w:rsidR="00225C9A" w:rsidRPr="00C978B9" w:rsidRDefault="00225C9A" w:rsidP="00FA5EF6"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4CF5DCF0" wp14:editId="5A1BD0B4">
                  <wp:extent cx="847725" cy="847725"/>
                  <wp:effectExtent l="0" t="0" r="9525" b="9525"/>
                  <wp:docPr id="9275" name="Picture 9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5DE57923" w14:textId="77777777" w:rsidR="00225C9A" w:rsidRPr="00A8226F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Project Management</w:t>
            </w:r>
          </w:p>
          <w:p w14:paraId="4765102D" w14:textId="77777777" w:rsidR="00225C9A" w:rsidRPr="00AA57E3" w:rsidRDefault="00225C9A" w:rsidP="00FA5EF6">
            <w:pPr>
              <w:pStyle w:val="TableText"/>
            </w:pPr>
            <w:r>
              <w:t>Understand and apply effective planning, coordination and control methods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0B2A6DBC" w14:textId="77777777" w:rsidR="00225C9A" w:rsidRPr="00AA57E3" w:rsidRDefault="00225C9A" w:rsidP="00FA5EF6">
            <w:pPr>
              <w:pStyle w:val="TableBullet"/>
            </w:pPr>
            <w:r>
              <w:t>Understand all components of the project management process, including the need to consider change management to realise business benefits</w:t>
            </w:r>
          </w:p>
          <w:p w14:paraId="75C08189" w14:textId="77777777" w:rsidR="00225C9A" w:rsidRPr="00AA57E3" w:rsidRDefault="00225C9A" w:rsidP="00FA5EF6">
            <w:pPr>
              <w:pStyle w:val="TableBullet"/>
            </w:pPr>
            <w:r>
              <w:t>Prepare clear project proposals and accurate estimates of required costs and resources</w:t>
            </w:r>
          </w:p>
          <w:p w14:paraId="75366678" w14:textId="77777777" w:rsidR="00225C9A" w:rsidRPr="00AA57E3" w:rsidRDefault="00225C9A" w:rsidP="00FA5EF6">
            <w:pPr>
              <w:pStyle w:val="TableBullet"/>
            </w:pPr>
            <w:r>
              <w:t>Establish performance outcomes and measures for key project goals, and define monitoring, reporting and communication requirements</w:t>
            </w:r>
          </w:p>
          <w:p w14:paraId="4305F39E" w14:textId="77777777" w:rsidR="00225C9A" w:rsidRPr="00AA57E3" w:rsidRDefault="00225C9A" w:rsidP="00FA5EF6">
            <w:pPr>
              <w:pStyle w:val="TableBullet"/>
            </w:pPr>
            <w:r>
              <w:t>Identify and evaluate risks associated with the project and develop mitigation strategies</w:t>
            </w:r>
          </w:p>
          <w:p w14:paraId="565FCF23" w14:textId="77777777" w:rsidR="00225C9A" w:rsidRPr="00AA57E3" w:rsidRDefault="00225C9A" w:rsidP="00FA5EF6">
            <w:pPr>
              <w:pStyle w:val="TableBullet"/>
            </w:pPr>
            <w:r>
              <w:t>Identify and consult stakeholders to inform the project strategy</w:t>
            </w:r>
          </w:p>
          <w:p w14:paraId="349A4A48" w14:textId="77777777" w:rsidR="00225C9A" w:rsidRPr="00AA57E3" w:rsidRDefault="00225C9A" w:rsidP="00FA5EF6">
            <w:pPr>
              <w:pStyle w:val="TableBullet"/>
            </w:pPr>
            <w:r>
              <w:t>Communicate the project’s objectives and its expected benefits</w:t>
            </w:r>
          </w:p>
          <w:p w14:paraId="1E207A75" w14:textId="77777777" w:rsidR="00225C9A" w:rsidRPr="00AA57E3" w:rsidRDefault="00225C9A" w:rsidP="00FA5EF6">
            <w:pPr>
              <w:pStyle w:val="TableBullet"/>
            </w:pPr>
            <w:r>
              <w:t>Monitor the completion of project milestones against goals and take necessary action</w:t>
            </w:r>
          </w:p>
          <w:p w14:paraId="5F06AD39" w14:textId="77777777" w:rsidR="00225C9A" w:rsidRPr="00AA57E3" w:rsidRDefault="00225C9A" w:rsidP="00FA5EF6">
            <w:pPr>
              <w:pStyle w:val="TableBullet"/>
            </w:pPr>
            <w:r>
              <w:t>Evaluate progress and identify improvements to inform future projects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1E3051EE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</w:tbl>
    <w:p w14:paraId="773A62D9" w14:textId="548F989C" w:rsidR="00225C9A" w:rsidRPr="00225C9A" w:rsidRDefault="00225C9A" w:rsidP="00970556">
      <w:pPr>
        <w:pStyle w:val="Heading1"/>
        <w:spacing w:before="240"/>
        <w:ind w:left="0"/>
        <w:rPr>
          <w:sz w:val="24"/>
          <w:szCs w:val="24"/>
        </w:rPr>
      </w:pPr>
      <w:r w:rsidRPr="00225C9A">
        <w:rPr>
          <w:sz w:val="24"/>
          <w:szCs w:val="24"/>
        </w:rPr>
        <w:t>Complementary capabilities</w:t>
      </w:r>
    </w:p>
    <w:p w14:paraId="15EF06E9" w14:textId="77777777" w:rsidR="00225C9A" w:rsidRPr="003927AE" w:rsidRDefault="00225C9A" w:rsidP="00225C9A">
      <w:pPr>
        <w:pStyle w:val="PlainText"/>
        <w:spacing w:before="62" w:line="276" w:lineRule="auto"/>
        <w:rPr>
          <w:rFonts w:ascii="Arial" w:hAnsi="Arial"/>
          <w:szCs w:val="22"/>
          <w:lang w:val="en-US"/>
        </w:rPr>
      </w:pPr>
      <w:r w:rsidRPr="003927AE">
        <w:rPr>
          <w:rFonts w:ascii="Arial" w:hAnsi="Arial"/>
          <w:i/>
          <w:szCs w:val="22"/>
          <w:lang w:val="en-US"/>
        </w:rPr>
        <w:t>Complementary capabilities</w:t>
      </w:r>
      <w:r w:rsidRPr="003927AE">
        <w:rPr>
          <w:rFonts w:ascii="Arial" w:hAnsi="Arial"/>
          <w:szCs w:val="22"/>
          <w:lang w:val="en-US"/>
        </w:rPr>
        <w:t xml:space="preserve"> are also identified from the Capability Framework and relevant occupation-specific capability sets. They are important to identifying performance required for the role and development opportunities. </w:t>
      </w:r>
    </w:p>
    <w:p w14:paraId="0DE8D7AA" w14:textId="77777777" w:rsidR="00225C9A" w:rsidRDefault="00225C9A" w:rsidP="00225C9A">
      <w:pPr>
        <w:pStyle w:val="PlainText"/>
        <w:spacing w:before="62" w:line="276" w:lineRule="auto"/>
        <w:rPr>
          <w:rFonts w:ascii="Arial" w:hAnsi="Arial"/>
          <w:szCs w:val="22"/>
          <w:lang w:val="en-US"/>
        </w:rPr>
      </w:pPr>
      <w:r w:rsidRPr="003927AE">
        <w:rPr>
          <w:rFonts w:ascii="Arial" w:hAnsi="Arial"/>
          <w:szCs w:val="22"/>
          <w:lang w:val="en-US"/>
        </w:rPr>
        <w:t>Note: capabilities listed as ‘not essential’ for this role are not relevant for recruitment purposes however may be relevant for future career development.</w:t>
      </w:r>
    </w:p>
    <w:tbl>
      <w:tblPr>
        <w:tblStyle w:val="PSCPurple"/>
        <w:tblW w:w="10753" w:type="dxa"/>
        <w:jc w:val="center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881"/>
        <w:gridCol w:w="90"/>
        <w:gridCol w:w="4770"/>
        <w:gridCol w:w="1606"/>
      </w:tblGrid>
      <w:tr w:rsidR="00225C9A" w:rsidRPr="00C978B9" w14:paraId="57B8E65B" w14:textId="77777777" w:rsidTr="00FA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406" w:type="dxa"/>
            <w:tcBorders>
              <w:bottom w:val="single" w:sz="12" w:space="0" w:color="auto"/>
            </w:tcBorders>
            <w:shd w:val="clear" w:color="auto" w:fill="BCBEC0"/>
            <w:vAlign w:val="center"/>
          </w:tcPr>
          <w:p w14:paraId="5D5DF14B" w14:textId="77777777" w:rsidR="00225C9A" w:rsidRPr="00C978B9" w:rsidRDefault="00225C9A" w:rsidP="00FA5EF6">
            <w:pPr>
              <w:pStyle w:val="TableText"/>
              <w:rPr>
                <w:b/>
                <w:sz w:val="24"/>
                <w:szCs w:val="24"/>
              </w:rPr>
            </w:pPr>
            <w:r>
              <w:rPr>
                <w:b/>
              </w:rPr>
              <w:t>Capability group/sets</w:t>
            </w:r>
          </w:p>
        </w:tc>
        <w:tc>
          <w:tcPr>
            <w:tcW w:w="2881" w:type="dxa"/>
            <w:tcBorders>
              <w:bottom w:val="single" w:sz="12" w:space="0" w:color="auto"/>
            </w:tcBorders>
            <w:shd w:val="clear" w:color="auto" w:fill="BCBEC0"/>
          </w:tcPr>
          <w:p w14:paraId="77FEBF0E" w14:textId="77777777" w:rsidR="00225C9A" w:rsidRPr="00C978B9" w:rsidRDefault="00225C9A" w:rsidP="00FA5EF6">
            <w:pPr>
              <w:pStyle w:val="TableText"/>
              <w:rPr>
                <w:b/>
                <w:sz w:val="24"/>
                <w:szCs w:val="24"/>
              </w:rPr>
            </w:pPr>
            <w:r w:rsidRPr="00021C23">
              <w:rPr>
                <w:b/>
              </w:rPr>
              <w:t>Ca</w:t>
            </w:r>
            <w:r>
              <w:rPr>
                <w:b/>
              </w:rPr>
              <w:t>pability name</w:t>
            </w:r>
          </w:p>
        </w:tc>
        <w:tc>
          <w:tcPr>
            <w:tcW w:w="90" w:type="dxa"/>
            <w:tcBorders>
              <w:bottom w:val="single" w:sz="12" w:space="0" w:color="auto"/>
            </w:tcBorders>
            <w:shd w:val="clear" w:color="auto" w:fill="BCBEC0"/>
          </w:tcPr>
          <w:p w14:paraId="02F4831C" w14:textId="77777777" w:rsidR="00225C9A" w:rsidRDefault="00225C9A" w:rsidP="00FA5EF6">
            <w:pPr>
              <w:pStyle w:val="TableText"/>
              <w:rPr>
                <w:b/>
              </w:rPr>
            </w:pPr>
          </w:p>
        </w:tc>
        <w:tc>
          <w:tcPr>
            <w:tcW w:w="4770" w:type="dxa"/>
            <w:tcBorders>
              <w:bottom w:val="single" w:sz="12" w:space="0" w:color="auto"/>
            </w:tcBorders>
            <w:shd w:val="clear" w:color="auto" w:fill="BCBEC0"/>
          </w:tcPr>
          <w:p w14:paraId="795688EF" w14:textId="77777777" w:rsidR="00225C9A" w:rsidRDefault="00225C9A" w:rsidP="00FA5EF6">
            <w:pPr>
              <w:pStyle w:val="TableText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06" w:type="dxa"/>
            <w:tcBorders>
              <w:bottom w:val="single" w:sz="12" w:space="0" w:color="auto"/>
            </w:tcBorders>
            <w:shd w:val="clear" w:color="auto" w:fill="BCBEC0"/>
          </w:tcPr>
          <w:p w14:paraId="07D028C6" w14:textId="77777777" w:rsidR="00225C9A" w:rsidRDefault="00225C9A" w:rsidP="00FA5EF6">
            <w:pPr>
              <w:pStyle w:val="TableText"/>
              <w:jc w:val="both"/>
              <w:rPr>
                <w:b/>
              </w:rPr>
            </w:pPr>
            <w:r>
              <w:rPr>
                <w:b/>
              </w:rPr>
              <w:t xml:space="preserve">Level </w:t>
            </w:r>
          </w:p>
        </w:tc>
      </w:tr>
      <w:tr w:rsidR="00225C9A" w:rsidRPr="00C978B9" w14:paraId="06D951A4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6B6A1443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78FE1F05" wp14:editId="327D11A2">
                  <wp:extent cx="417600" cy="417600"/>
                  <wp:effectExtent l="0" t="0" r="1905" b="1905"/>
                  <wp:docPr id="9273" name="Picture 9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5F983B0F" w14:textId="77777777" w:rsidR="00225C9A" w:rsidRPr="00AA57E3" w:rsidRDefault="00225C9A" w:rsidP="00FA5EF6">
            <w:r>
              <w:t>Display Resilience and Courage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6E1E9DDD" w14:textId="77777777" w:rsidR="00225C9A" w:rsidRPr="00AA57E3" w:rsidRDefault="00225C9A" w:rsidP="00FA5EF6">
            <w:r>
              <w:t>Be open and honest, prepared to express your views, and willing to accept and commit to change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279B2B50" w14:textId="62D61609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Intermediate</w:t>
            </w:r>
          </w:p>
        </w:tc>
      </w:tr>
      <w:tr w:rsidR="00225C9A" w:rsidRPr="00C978B9" w14:paraId="4FEF4124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5A1DAF2F" w14:textId="2E2111B9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5B1C391" wp14:editId="55D04893">
                  <wp:extent cx="417600" cy="417600"/>
                  <wp:effectExtent l="0" t="0" r="1905" b="1905"/>
                  <wp:docPr id="1139797427" name="Picture 1139797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3FD6772A" w14:textId="77777777" w:rsidR="00225C9A" w:rsidRPr="00A8226F" w:rsidRDefault="00225C9A" w:rsidP="00FA5EF6">
            <w:r>
              <w:t>Act with Integrity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21A65EFA" w14:textId="77777777" w:rsidR="00225C9A" w:rsidRDefault="00225C9A" w:rsidP="00FA5EF6">
            <w:r>
              <w:t>Be ethical and professional, and uphold and promote the public sector values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069652B3" w14:textId="3138C0CA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Intermediate</w:t>
            </w:r>
          </w:p>
        </w:tc>
      </w:tr>
      <w:tr w:rsidR="00225C9A" w:rsidRPr="00C978B9" w14:paraId="1BD2A49D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28A2F10C" w14:textId="53C89B32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1F6A0DC" wp14:editId="72E8534B">
                  <wp:extent cx="417600" cy="417600"/>
                  <wp:effectExtent l="0" t="0" r="1905" b="1905"/>
                  <wp:docPr id="1481188846" name="Picture 1481188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0E063394" w14:textId="77777777" w:rsidR="00225C9A" w:rsidRPr="00A8226F" w:rsidRDefault="00225C9A" w:rsidP="00FA5EF6">
            <w:r>
              <w:t>Value Diversity and Inclusion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1EF55C8E" w14:textId="77777777" w:rsidR="00225C9A" w:rsidRDefault="00225C9A" w:rsidP="00FA5EF6">
            <w:r>
              <w:t>Demonstrate inclusive behaviour and show respect for diverse backgrounds, experiences and perspectives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45EC785F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Intermediate</w:t>
            </w:r>
          </w:p>
        </w:tc>
      </w:tr>
      <w:tr w:rsidR="00225C9A" w:rsidRPr="00C978B9" w14:paraId="5CF5E660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7B01D52D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35467BF7" wp14:editId="1BA3B876">
                  <wp:extent cx="417600" cy="417600"/>
                  <wp:effectExtent l="0" t="0" r="1905" b="1905"/>
                  <wp:docPr id="9272" name="Picture 9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105C1DC1" w14:textId="77777777" w:rsidR="00225C9A" w:rsidRPr="00AA57E3" w:rsidRDefault="00225C9A" w:rsidP="00FA5EF6">
            <w:r>
              <w:t>Commit to Customer Service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38EE3913" w14:textId="77777777" w:rsidR="00225C9A" w:rsidRPr="00AA57E3" w:rsidRDefault="00225C9A" w:rsidP="00FA5EF6">
            <w:r>
              <w:t>Provide customer-focused services in line with public sector and organisational objectives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26105E14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7FF8B5DF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6093EB28" w14:textId="62B7EA48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4A3C16B" wp14:editId="67D96FD2">
                  <wp:extent cx="417600" cy="417600"/>
                  <wp:effectExtent l="0" t="0" r="1905" b="1905"/>
                  <wp:docPr id="848319994" name="Picture 848319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25B14828" w14:textId="77777777" w:rsidR="00225C9A" w:rsidRPr="00A8226F" w:rsidRDefault="00225C9A" w:rsidP="00FA5EF6">
            <w:r>
              <w:t>Influence and Negotiate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1D29EC38" w14:textId="77777777" w:rsidR="00225C9A" w:rsidRDefault="00225C9A" w:rsidP="00FA5EF6">
            <w:r>
              <w:t>Gain consensus and commitment from others, and resolve issues and conflicts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6C57D0F8" w14:textId="77777777" w:rsidR="00225C9A" w:rsidRDefault="00225C9A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3ED33916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03662EEA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01149E2D" wp14:editId="39009ED0">
                  <wp:extent cx="417600" cy="417600"/>
                  <wp:effectExtent l="0" t="0" r="1905" b="1905"/>
                  <wp:docPr id="9271" name="Picture 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02228713" w14:textId="77777777" w:rsidR="00225C9A" w:rsidRPr="00AA57E3" w:rsidRDefault="00225C9A" w:rsidP="00FA5EF6">
            <w:r>
              <w:t>Think and Solve Problems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01A4A2FF" w14:textId="77777777" w:rsidR="00225C9A" w:rsidRPr="00AA57E3" w:rsidRDefault="00225C9A" w:rsidP="00FA5EF6">
            <w:r>
              <w:t>Think, analyse and consider the broader context to develop practical solutions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240DC1DE" w14:textId="778D4248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2837EF45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4841C6B6" w14:textId="1CABD205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06A4DBCB" wp14:editId="08B59422">
                  <wp:extent cx="417600" cy="417600"/>
                  <wp:effectExtent l="0" t="0" r="1905" b="1905"/>
                  <wp:docPr id="1776839805" name="Picture 1776839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1E7121D1" w14:textId="77777777" w:rsidR="00225C9A" w:rsidRPr="00A8226F" w:rsidRDefault="00225C9A" w:rsidP="00FA5EF6">
            <w:r>
              <w:t>Demonstrate Accountability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752AFF67" w14:textId="77777777" w:rsidR="00225C9A" w:rsidRDefault="00225C9A" w:rsidP="00FA5EF6">
            <w:r>
              <w:t>Be proactive and responsible for own actions, and adhere to legislation, policy and guidelines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0D950044" w14:textId="3DDDC411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Adept</w:t>
            </w:r>
          </w:p>
        </w:tc>
      </w:tr>
      <w:tr w:rsidR="00225C9A" w:rsidRPr="00C978B9" w14:paraId="450EA9D2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04E2F73F" w14:textId="77777777" w:rsidR="00225C9A" w:rsidRPr="00C978B9" w:rsidRDefault="00225C9A" w:rsidP="00FA5EF6">
            <w:r>
              <w:rPr>
                <w:noProof/>
                <w:lang w:bidi="ar-SA"/>
              </w:rPr>
              <w:drawing>
                <wp:inline distT="0" distB="0" distL="0" distR="0" wp14:anchorId="4A39EFE8" wp14:editId="7FA21967">
                  <wp:extent cx="417600" cy="417600"/>
                  <wp:effectExtent l="0" t="0" r="1905" b="1905"/>
                  <wp:docPr id="9270" name="Picture 9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1233E2D0" w14:textId="77777777" w:rsidR="00225C9A" w:rsidRPr="00AA57E3" w:rsidRDefault="00225C9A" w:rsidP="00FA5EF6">
            <w:r>
              <w:t>Finance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6B90FE81" w14:textId="77777777" w:rsidR="00225C9A" w:rsidRPr="00AA57E3" w:rsidRDefault="00225C9A" w:rsidP="00FA5EF6">
            <w:r>
              <w:t>Understand and apply financial processes to achieve value for money and minimise financial risk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34809CDD" w14:textId="4D487DFC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Intermediate</w:t>
            </w:r>
          </w:p>
        </w:tc>
      </w:tr>
      <w:tr w:rsidR="00225C9A" w:rsidRPr="00C978B9" w14:paraId="388D4385" w14:textId="77777777" w:rsidTr="00FA5EF6">
        <w:trPr>
          <w:cantSplit/>
          <w:jc w:val="center"/>
        </w:trPr>
        <w:tc>
          <w:tcPr>
            <w:tcW w:w="1406" w:type="dxa"/>
            <w:tcBorders>
              <w:bottom w:val="single" w:sz="4" w:space="0" w:color="BCBEC0"/>
            </w:tcBorders>
          </w:tcPr>
          <w:p w14:paraId="5E95A777" w14:textId="7480E99D" w:rsidR="00225C9A" w:rsidRDefault="00FA5EF6" w:rsidP="00FA5EF6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08F2798" wp14:editId="63EC69C2">
                  <wp:extent cx="417600" cy="417600"/>
                  <wp:effectExtent l="0" t="0" r="1905" b="1905"/>
                  <wp:docPr id="1510291143" name="Picture 151029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gridSpan w:val="2"/>
            <w:tcBorders>
              <w:bottom w:val="single" w:sz="4" w:space="0" w:color="BCBEC0"/>
            </w:tcBorders>
          </w:tcPr>
          <w:p w14:paraId="2E4679B1" w14:textId="77777777" w:rsidR="00225C9A" w:rsidRPr="00A8226F" w:rsidRDefault="00225C9A" w:rsidP="00FA5EF6">
            <w:r>
              <w:t>Technology</w:t>
            </w:r>
          </w:p>
        </w:tc>
        <w:tc>
          <w:tcPr>
            <w:tcW w:w="4770" w:type="dxa"/>
            <w:tcBorders>
              <w:bottom w:val="single" w:sz="4" w:space="0" w:color="BCBEC0"/>
            </w:tcBorders>
          </w:tcPr>
          <w:p w14:paraId="60B73FA2" w14:textId="77777777" w:rsidR="00225C9A" w:rsidRDefault="00225C9A" w:rsidP="00FA5EF6">
            <w:r>
              <w:t>Understand and use available technologies to maximise efficiencies and effectiveness</w:t>
            </w:r>
          </w:p>
        </w:tc>
        <w:tc>
          <w:tcPr>
            <w:tcW w:w="1606" w:type="dxa"/>
            <w:tcBorders>
              <w:bottom w:val="single" w:sz="4" w:space="0" w:color="BCBEC0"/>
            </w:tcBorders>
          </w:tcPr>
          <w:p w14:paraId="71111CDD" w14:textId="2B04997D" w:rsidR="00225C9A" w:rsidRDefault="00735868" w:rsidP="00FA5EF6">
            <w:pPr>
              <w:pStyle w:val="TableBullet"/>
              <w:numPr>
                <w:ilvl w:val="0"/>
                <w:numId w:val="0"/>
              </w:numPr>
              <w:jc w:val="both"/>
            </w:pPr>
            <w:r>
              <w:t>Intermediate</w:t>
            </w:r>
          </w:p>
        </w:tc>
      </w:tr>
    </w:tbl>
    <w:p w14:paraId="5EB374CA" w14:textId="77777777" w:rsidR="00225C9A" w:rsidRPr="003927AE" w:rsidRDefault="00225C9A" w:rsidP="00225C9A"/>
    <w:p w14:paraId="25945B6D" w14:textId="77777777" w:rsidR="00165354" w:rsidRDefault="00165354" w:rsidP="00995FB9">
      <w:pPr>
        <w:tabs>
          <w:tab w:val="left" w:pos="2925"/>
        </w:tabs>
        <w:rPr>
          <w:rFonts w:ascii="Georgia" w:hAnsi="Georgia"/>
        </w:rPr>
      </w:pPr>
    </w:p>
    <w:sectPr w:rsidR="00165354" w:rsidSect="00CF7FA9">
      <w:footerReference w:type="default" r:id="rId20"/>
      <w:footerReference w:type="first" r:id="rId21"/>
      <w:pgSz w:w="12240" w:h="15840"/>
      <w:pgMar w:top="1276" w:right="657" w:bottom="1224" w:left="72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C710" w14:textId="77777777" w:rsidR="00C330F0" w:rsidRDefault="00C330F0">
      <w:r>
        <w:separator/>
      </w:r>
    </w:p>
  </w:endnote>
  <w:endnote w:type="continuationSeparator" w:id="0">
    <w:p w14:paraId="4CA9BE38" w14:textId="77777777" w:rsidR="00C330F0" w:rsidRDefault="00C3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9"/>
      <w:gridCol w:w="560"/>
      <w:gridCol w:w="5264"/>
    </w:tblGrid>
    <w:tr w:rsidR="0068040E" w14:paraId="1A6F08E4" w14:textId="77777777" w:rsidTr="0068040E">
      <w:tc>
        <w:tcPr>
          <w:tcW w:w="2250" w:type="pct"/>
          <w:vAlign w:val="center"/>
        </w:tcPr>
        <w:p w14:paraId="332AF273" w14:textId="2DC379C6" w:rsidR="0068040E" w:rsidRDefault="0068040E" w:rsidP="00F73E95">
          <w:pPr>
            <w:pStyle w:val="Footer"/>
          </w:pPr>
          <w:r w:rsidRPr="00C03AFD">
            <w:rPr>
              <w:color w:val="928B81"/>
              <w:sz w:val="18"/>
            </w:rPr>
            <w:t>Role Description</w:t>
          </w:r>
          <w:r w:rsidR="00597550" w:rsidRPr="00475E8A">
            <w:rPr>
              <w:b/>
              <w:color w:val="928B81"/>
              <w:sz w:val="18"/>
            </w:rPr>
            <w:t xml:space="preserve">: </w:t>
          </w:r>
          <w:r w:rsidR="00591F99" w:rsidRPr="00475E8A">
            <w:rPr>
              <w:b/>
              <w:color w:val="928B81"/>
              <w:sz w:val="18"/>
            </w:rPr>
            <w:t xml:space="preserve">Senior </w:t>
          </w:r>
          <w:r w:rsidR="00820479">
            <w:rPr>
              <w:b/>
              <w:color w:val="928B81"/>
              <w:sz w:val="18"/>
            </w:rPr>
            <w:t>Project Officer Living Collections</w:t>
          </w:r>
        </w:p>
      </w:tc>
      <w:tc>
        <w:tcPr>
          <w:tcW w:w="250" w:type="pct"/>
          <w:vAlign w:val="center"/>
        </w:tcPr>
        <w:p w14:paraId="11A3EFE2" w14:textId="77777777" w:rsidR="0068040E" w:rsidRPr="00C03AFD" w:rsidRDefault="0068040E" w:rsidP="00727050">
          <w:pPr>
            <w:pStyle w:val="Footer"/>
            <w:jc w:val="center"/>
            <w:rPr>
              <w:color w:val="928B81"/>
            </w:rPr>
          </w:pPr>
          <w:r w:rsidRPr="00C03AFD">
            <w:rPr>
              <w:noProof/>
              <w:color w:val="928B81"/>
              <w:sz w:val="18"/>
            </w:rPr>
            <w:fldChar w:fldCharType="begin"/>
          </w:r>
          <w:r w:rsidRPr="00C03AFD">
            <w:rPr>
              <w:noProof/>
              <w:color w:val="928B81"/>
              <w:sz w:val="18"/>
            </w:rPr>
            <w:instrText xml:space="preserve"> PAGE  \* Arabic </w:instrText>
          </w:r>
          <w:r w:rsidRPr="00C03AFD">
            <w:rPr>
              <w:noProof/>
              <w:color w:val="928B81"/>
              <w:sz w:val="18"/>
            </w:rPr>
            <w:fldChar w:fldCharType="separate"/>
          </w:r>
          <w:r w:rsidR="00636834">
            <w:rPr>
              <w:noProof/>
              <w:color w:val="928B81"/>
              <w:sz w:val="18"/>
            </w:rPr>
            <w:t>7</w:t>
          </w:r>
          <w:r w:rsidRPr="00C03AFD">
            <w:rPr>
              <w:noProof/>
              <w:color w:val="928B81"/>
              <w:sz w:val="18"/>
            </w:rPr>
            <w:fldChar w:fldCharType="end"/>
          </w:r>
        </w:p>
      </w:tc>
      <w:tc>
        <w:tcPr>
          <w:tcW w:w="2350" w:type="pct"/>
        </w:tcPr>
        <w:p w14:paraId="59367D3A" w14:textId="77777777" w:rsidR="0068040E" w:rsidRDefault="0068040E" w:rsidP="00727050">
          <w:pPr>
            <w:pStyle w:val="Foot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688ED473" wp14:editId="649AB4D7">
                <wp:extent cx="420414" cy="452144"/>
                <wp:effectExtent l="0" t="0" r="0" b="5080"/>
                <wp:docPr id="316145276" name="Picture 316145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145276" name="Picture 3161452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414" cy="452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B4DF1B" w14:textId="77777777" w:rsidR="0068040E" w:rsidRDefault="0068040E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0" w:type="dxa"/>
      <w:tblInd w:w="-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5"/>
      <w:gridCol w:w="875"/>
    </w:tblGrid>
    <w:tr w:rsidR="0068040E" w14:paraId="726A0D83" w14:textId="77777777" w:rsidTr="0068040E">
      <w:trPr>
        <w:trHeight w:val="811"/>
      </w:trPr>
      <w:tc>
        <w:tcPr>
          <w:tcW w:w="10005" w:type="dxa"/>
          <w:vAlign w:val="bottom"/>
        </w:tcPr>
        <w:p w14:paraId="1968BFEE" w14:textId="77777777" w:rsidR="0068040E" w:rsidRPr="00051237" w:rsidRDefault="0068040E" w:rsidP="00727050">
          <w:pPr>
            <w:pStyle w:val="Footer"/>
            <w:tabs>
              <w:tab w:val="center" w:pos="5315"/>
            </w:tabs>
          </w:pPr>
          <w:r>
            <w:rPr>
              <w:color w:val="000000" w:themeColor="text1"/>
            </w:rPr>
            <w:tab/>
          </w:r>
          <w:r>
            <w:rPr>
              <w:color w:val="000000" w:themeColor="text1"/>
            </w:rPr>
            <w:ptab w:relativeTo="indent" w:alignment="center" w:leader="non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Arabic </w:instrText>
          </w:r>
          <w:r>
            <w:rPr>
              <w:noProof/>
            </w:rPr>
            <w:fldChar w:fldCharType="separate"/>
          </w:r>
          <w:r w:rsidR="00F73E95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875" w:type="dxa"/>
        </w:tcPr>
        <w:p w14:paraId="6297BE3D" w14:textId="77777777" w:rsidR="0068040E" w:rsidRDefault="0068040E" w:rsidP="00727050">
          <w:pPr>
            <w:pStyle w:val="Foot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2559973C" wp14:editId="790B8D8B">
                <wp:extent cx="555625" cy="581660"/>
                <wp:effectExtent l="0" t="0" r="0" b="8890"/>
                <wp:docPr id="408962201" name="Picture 408962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_Work_For_NSW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95553F" w14:textId="77777777" w:rsidR="0068040E" w:rsidRDefault="0068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F7E1" w14:textId="77777777" w:rsidR="00C330F0" w:rsidRDefault="00C330F0">
      <w:r>
        <w:separator/>
      </w:r>
    </w:p>
  </w:footnote>
  <w:footnote w:type="continuationSeparator" w:id="0">
    <w:p w14:paraId="0746D36C" w14:textId="77777777" w:rsidR="00C330F0" w:rsidRDefault="00C3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1B62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18AA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0AD6F8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E7F98"/>
    <w:multiLevelType w:val="hybridMultilevel"/>
    <w:tmpl w:val="61C2B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2EF5"/>
    <w:multiLevelType w:val="hybridMultilevel"/>
    <w:tmpl w:val="3B882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1477"/>
    <w:multiLevelType w:val="hybridMultilevel"/>
    <w:tmpl w:val="901620D0"/>
    <w:lvl w:ilvl="0" w:tplc="2A740F4A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D3005426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AE0C87B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84A893BE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863ADD9E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390C9C4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C1CC16C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E6D4DB9A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319EDB9E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6" w15:restartNumberingAfterBreak="0">
    <w:nsid w:val="14326A8F"/>
    <w:multiLevelType w:val="hybridMultilevel"/>
    <w:tmpl w:val="891C573E"/>
    <w:lvl w:ilvl="0" w:tplc="0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66549F5"/>
    <w:multiLevelType w:val="hybridMultilevel"/>
    <w:tmpl w:val="F896485C"/>
    <w:lvl w:ilvl="0" w:tplc="53A8DC08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AB266248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E5AEE79E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564C0A2E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CE3C934E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81645396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2AE2AEE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62078E2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FF46B17A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8" w15:restartNumberingAfterBreak="0">
    <w:nsid w:val="16AF7EE9"/>
    <w:multiLevelType w:val="hybridMultilevel"/>
    <w:tmpl w:val="EB0CA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624F0"/>
    <w:multiLevelType w:val="hybridMultilevel"/>
    <w:tmpl w:val="62C49322"/>
    <w:lvl w:ilvl="0" w:tplc="70FE20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2CD5"/>
    <w:multiLevelType w:val="hybridMultilevel"/>
    <w:tmpl w:val="C6B6C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D5F4B"/>
    <w:multiLevelType w:val="hybridMultilevel"/>
    <w:tmpl w:val="FED017AE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 w15:restartNumberingAfterBreak="0">
    <w:nsid w:val="471A67CA"/>
    <w:multiLevelType w:val="hybridMultilevel"/>
    <w:tmpl w:val="113EB55C"/>
    <w:lvl w:ilvl="0" w:tplc="1C7285AE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29073C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869ECC0A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5DE1052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6CECF13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8CC3FB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3481C34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2E5B3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A1A599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496B4FCD"/>
    <w:multiLevelType w:val="hybridMultilevel"/>
    <w:tmpl w:val="3F82E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822F6"/>
    <w:multiLevelType w:val="hybridMultilevel"/>
    <w:tmpl w:val="EFF2D8DE"/>
    <w:lvl w:ilvl="0" w:tplc="48E29324">
      <w:start w:val="1"/>
      <w:numFmt w:val="bullet"/>
      <w:lvlText w:val="•"/>
      <w:lvlJc w:val="left"/>
      <w:pPr>
        <w:ind w:left="7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9C84DAE">
      <w:start w:val="1"/>
      <w:numFmt w:val="bullet"/>
      <w:lvlText w:val="o"/>
      <w:lvlJc w:val="left"/>
      <w:pPr>
        <w:ind w:left="15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B2873C4">
      <w:start w:val="1"/>
      <w:numFmt w:val="bullet"/>
      <w:lvlText w:val="▪"/>
      <w:lvlJc w:val="left"/>
      <w:pPr>
        <w:ind w:left="22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9B58F426">
      <w:start w:val="1"/>
      <w:numFmt w:val="bullet"/>
      <w:lvlText w:val="•"/>
      <w:lvlJc w:val="left"/>
      <w:pPr>
        <w:ind w:left="29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1320196E">
      <w:start w:val="1"/>
      <w:numFmt w:val="bullet"/>
      <w:lvlText w:val="o"/>
      <w:lvlJc w:val="left"/>
      <w:pPr>
        <w:ind w:left="36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E314293E">
      <w:start w:val="1"/>
      <w:numFmt w:val="bullet"/>
      <w:lvlText w:val="▪"/>
      <w:lvlJc w:val="left"/>
      <w:pPr>
        <w:ind w:left="43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CB68BFA">
      <w:start w:val="1"/>
      <w:numFmt w:val="bullet"/>
      <w:lvlText w:val="•"/>
      <w:lvlJc w:val="left"/>
      <w:pPr>
        <w:ind w:left="51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C00B2AC">
      <w:start w:val="1"/>
      <w:numFmt w:val="bullet"/>
      <w:lvlText w:val="o"/>
      <w:lvlJc w:val="left"/>
      <w:pPr>
        <w:ind w:left="58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D266482">
      <w:start w:val="1"/>
      <w:numFmt w:val="bullet"/>
      <w:lvlText w:val="▪"/>
      <w:lvlJc w:val="left"/>
      <w:pPr>
        <w:ind w:left="65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5" w15:restartNumberingAfterBreak="0">
    <w:nsid w:val="6FDA4A7E"/>
    <w:multiLevelType w:val="hybridMultilevel"/>
    <w:tmpl w:val="0B646A4C"/>
    <w:lvl w:ilvl="0" w:tplc="64E8A092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A108722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8FCCF960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C846A7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75E936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40476C6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2E4D1F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41ACE920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D0A457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6" w15:restartNumberingAfterBreak="0">
    <w:nsid w:val="7017768F"/>
    <w:multiLevelType w:val="hybridMultilevel"/>
    <w:tmpl w:val="34946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FEC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8494ED9"/>
    <w:multiLevelType w:val="hybridMultilevel"/>
    <w:tmpl w:val="EAD6D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0715">
    <w:abstractNumId w:val="2"/>
  </w:num>
  <w:num w:numId="2" w16cid:durableId="2105955403">
    <w:abstractNumId w:val="15"/>
  </w:num>
  <w:num w:numId="3" w16cid:durableId="1759061070">
    <w:abstractNumId w:val="12"/>
  </w:num>
  <w:num w:numId="4" w16cid:durableId="1747216543">
    <w:abstractNumId w:val="14"/>
  </w:num>
  <w:num w:numId="5" w16cid:durableId="2131511669">
    <w:abstractNumId w:val="7"/>
  </w:num>
  <w:num w:numId="6" w16cid:durableId="1600412730">
    <w:abstractNumId w:val="5"/>
  </w:num>
  <w:num w:numId="7" w16cid:durableId="241793021">
    <w:abstractNumId w:val="6"/>
  </w:num>
  <w:num w:numId="8" w16cid:durableId="1635598712">
    <w:abstractNumId w:val="8"/>
  </w:num>
  <w:num w:numId="9" w16cid:durableId="1108964957">
    <w:abstractNumId w:val="18"/>
  </w:num>
  <w:num w:numId="10" w16cid:durableId="1879119250">
    <w:abstractNumId w:val="4"/>
  </w:num>
  <w:num w:numId="11" w16cid:durableId="353729953">
    <w:abstractNumId w:val="16"/>
  </w:num>
  <w:num w:numId="12" w16cid:durableId="890724027">
    <w:abstractNumId w:val="11"/>
  </w:num>
  <w:num w:numId="13" w16cid:durableId="1894150845">
    <w:abstractNumId w:val="2"/>
  </w:num>
  <w:num w:numId="14" w16cid:durableId="1153137897">
    <w:abstractNumId w:val="1"/>
  </w:num>
  <w:num w:numId="15" w16cid:durableId="1538736652">
    <w:abstractNumId w:val="17"/>
  </w:num>
  <w:num w:numId="16" w16cid:durableId="2049144095">
    <w:abstractNumId w:val="0"/>
  </w:num>
  <w:num w:numId="17" w16cid:durableId="1374576152">
    <w:abstractNumId w:val="13"/>
  </w:num>
  <w:num w:numId="18" w16cid:durableId="479468877">
    <w:abstractNumId w:val="10"/>
  </w:num>
  <w:num w:numId="19" w16cid:durableId="1374840778">
    <w:abstractNumId w:val="3"/>
  </w:num>
  <w:num w:numId="20" w16cid:durableId="205923755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F4"/>
    <w:rsid w:val="00004E3D"/>
    <w:rsid w:val="0002348E"/>
    <w:rsid w:val="00027C01"/>
    <w:rsid w:val="00027FEC"/>
    <w:rsid w:val="00042E30"/>
    <w:rsid w:val="000544F9"/>
    <w:rsid w:val="00072D6C"/>
    <w:rsid w:val="00081CC2"/>
    <w:rsid w:val="00084BB1"/>
    <w:rsid w:val="000A585E"/>
    <w:rsid w:val="000D60E6"/>
    <w:rsid w:val="00101F0D"/>
    <w:rsid w:val="00112952"/>
    <w:rsid w:val="00141C8C"/>
    <w:rsid w:val="001537DC"/>
    <w:rsid w:val="00156EFE"/>
    <w:rsid w:val="00162BFD"/>
    <w:rsid w:val="00165354"/>
    <w:rsid w:val="00165925"/>
    <w:rsid w:val="00176CA5"/>
    <w:rsid w:val="00176E24"/>
    <w:rsid w:val="00177AEA"/>
    <w:rsid w:val="00181A7D"/>
    <w:rsid w:val="001A00D8"/>
    <w:rsid w:val="001A3932"/>
    <w:rsid w:val="001B08FD"/>
    <w:rsid w:val="001B3C76"/>
    <w:rsid w:val="001C4469"/>
    <w:rsid w:val="001F13CE"/>
    <w:rsid w:val="001F77CC"/>
    <w:rsid w:val="00207F2E"/>
    <w:rsid w:val="0021797D"/>
    <w:rsid w:val="00225C9A"/>
    <w:rsid w:val="002260A2"/>
    <w:rsid w:val="00251DFE"/>
    <w:rsid w:val="002645A4"/>
    <w:rsid w:val="00271510"/>
    <w:rsid w:val="00282140"/>
    <w:rsid w:val="00287158"/>
    <w:rsid w:val="002874B1"/>
    <w:rsid w:val="002A7BDF"/>
    <w:rsid w:val="002C4ABE"/>
    <w:rsid w:val="002E15F6"/>
    <w:rsid w:val="00301CCA"/>
    <w:rsid w:val="003110BC"/>
    <w:rsid w:val="00326AAA"/>
    <w:rsid w:val="003333CC"/>
    <w:rsid w:val="0035247B"/>
    <w:rsid w:val="003930FF"/>
    <w:rsid w:val="00395474"/>
    <w:rsid w:val="003A1050"/>
    <w:rsid w:val="003A240B"/>
    <w:rsid w:val="003B4A6E"/>
    <w:rsid w:val="003B5640"/>
    <w:rsid w:val="003D6E99"/>
    <w:rsid w:val="003E7A94"/>
    <w:rsid w:val="003F62BA"/>
    <w:rsid w:val="00402E93"/>
    <w:rsid w:val="0042464B"/>
    <w:rsid w:val="0044449B"/>
    <w:rsid w:val="00446BE8"/>
    <w:rsid w:val="004574E3"/>
    <w:rsid w:val="00462175"/>
    <w:rsid w:val="0046630A"/>
    <w:rsid w:val="00475E8A"/>
    <w:rsid w:val="00483931"/>
    <w:rsid w:val="004A61D9"/>
    <w:rsid w:val="004B5C32"/>
    <w:rsid w:val="004B7509"/>
    <w:rsid w:val="004D2A2A"/>
    <w:rsid w:val="004D7B1F"/>
    <w:rsid w:val="004E40CA"/>
    <w:rsid w:val="004F1FAD"/>
    <w:rsid w:val="004F4284"/>
    <w:rsid w:val="004F7514"/>
    <w:rsid w:val="005036AC"/>
    <w:rsid w:val="005167AA"/>
    <w:rsid w:val="00517C16"/>
    <w:rsid w:val="00524346"/>
    <w:rsid w:val="00542E56"/>
    <w:rsid w:val="00556EB1"/>
    <w:rsid w:val="005656E3"/>
    <w:rsid w:val="00574ADF"/>
    <w:rsid w:val="005805D8"/>
    <w:rsid w:val="00591F99"/>
    <w:rsid w:val="0059393B"/>
    <w:rsid w:val="00597550"/>
    <w:rsid w:val="005E381C"/>
    <w:rsid w:val="005E3A0C"/>
    <w:rsid w:val="005F7ED0"/>
    <w:rsid w:val="00602AFC"/>
    <w:rsid w:val="00621172"/>
    <w:rsid w:val="00633E2E"/>
    <w:rsid w:val="00636834"/>
    <w:rsid w:val="006545C1"/>
    <w:rsid w:val="006750CC"/>
    <w:rsid w:val="0068040E"/>
    <w:rsid w:val="00695913"/>
    <w:rsid w:val="006B78A8"/>
    <w:rsid w:val="006C7F98"/>
    <w:rsid w:val="006D3A99"/>
    <w:rsid w:val="006E27B5"/>
    <w:rsid w:val="007010FD"/>
    <w:rsid w:val="00715C23"/>
    <w:rsid w:val="00722051"/>
    <w:rsid w:val="00727050"/>
    <w:rsid w:val="00727541"/>
    <w:rsid w:val="00735868"/>
    <w:rsid w:val="007759F5"/>
    <w:rsid w:val="00781B2E"/>
    <w:rsid w:val="007A0F33"/>
    <w:rsid w:val="007B4A72"/>
    <w:rsid w:val="007B6BD8"/>
    <w:rsid w:val="007D4B34"/>
    <w:rsid w:val="007E2E04"/>
    <w:rsid w:val="007E3796"/>
    <w:rsid w:val="007F0345"/>
    <w:rsid w:val="007F4480"/>
    <w:rsid w:val="00802B06"/>
    <w:rsid w:val="00820479"/>
    <w:rsid w:val="008254FF"/>
    <w:rsid w:val="00825ED7"/>
    <w:rsid w:val="00826B7C"/>
    <w:rsid w:val="00842137"/>
    <w:rsid w:val="0085262C"/>
    <w:rsid w:val="00866E7C"/>
    <w:rsid w:val="0088156A"/>
    <w:rsid w:val="00882919"/>
    <w:rsid w:val="008841F3"/>
    <w:rsid w:val="00887E81"/>
    <w:rsid w:val="00890AF6"/>
    <w:rsid w:val="008B3A9D"/>
    <w:rsid w:val="008B3AD1"/>
    <w:rsid w:val="008D3A81"/>
    <w:rsid w:val="008D4DC5"/>
    <w:rsid w:val="008E3A23"/>
    <w:rsid w:val="008F3476"/>
    <w:rsid w:val="009050C7"/>
    <w:rsid w:val="00914B51"/>
    <w:rsid w:val="0095546D"/>
    <w:rsid w:val="00970556"/>
    <w:rsid w:val="0097203C"/>
    <w:rsid w:val="00985D06"/>
    <w:rsid w:val="00995FB9"/>
    <w:rsid w:val="00996F02"/>
    <w:rsid w:val="009A43E9"/>
    <w:rsid w:val="009A653B"/>
    <w:rsid w:val="009A6AAD"/>
    <w:rsid w:val="009B29E8"/>
    <w:rsid w:val="009C6546"/>
    <w:rsid w:val="009C7355"/>
    <w:rsid w:val="009D04D6"/>
    <w:rsid w:val="009E052B"/>
    <w:rsid w:val="009E75FA"/>
    <w:rsid w:val="009F47B2"/>
    <w:rsid w:val="00A0430A"/>
    <w:rsid w:val="00A13AD3"/>
    <w:rsid w:val="00A23029"/>
    <w:rsid w:val="00A35BDF"/>
    <w:rsid w:val="00A36BC7"/>
    <w:rsid w:val="00A36DA5"/>
    <w:rsid w:val="00A47E41"/>
    <w:rsid w:val="00A655F5"/>
    <w:rsid w:val="00A667C6"/>
    <w:rsid w:val="00A762F4"/>
    <w:rsid w:val="00A76AED"/>
    <w:rsid w:val="00A837B7"/>
    <w:rsid w:val="00A977D3"/>
    <w:rsid w:val="00AA01BE"/>
    <w:rsid w:val="00AA7B98"/>
    <w:rsid w:val="00AC5B59"/>
    <w:rsid w:val="00AE06CD"/>
    <w:rsid w:val="00AF15FF"/>
    <w:rsid w:val="00AF7492"/>
    <w:rsid w:val="00B10007"/>
    <w:rsid w:val="00B1070A"/>
    <w:rsid w:val="00B130AB"/>
    <w:rsid w:val="00B13932"/>
    <w:rsid w:val="00B13967"/>
    <w:rsid w:val="00B31701"/>
    <w:rsid w:val="00B70E30"/>
    <w:rsid w:val="00B71175"/>
    <w:rsid w:val="00B8009C"/>
    <w:rsid w:val="00B80B9F"/>
    <w:rsid w:val="00B860A2"/>
    <w:rsid w:val="00B94C67"/>
    <w:rsid w:val="00B97608"/>
    <w:rsid w:val="00BA04A3"/>
    <w:rsid w:val="00BB0E43"/>
    <w:rsid w:val="00BD0B83"/>
    <w:rsid w:val="00BD7418"/>
    <w:rsid w:val="00BE09FE"/>
    <w:rsid w:val="00BE52AF"/>
    <w:rsid w:val="00BF3F9E"/>
    <w:rsid w:val="00C049B6"/>
    <w:rsid w:val="00C0545D"/>
    <w:rsid w:val="00C12EB3"/>
    <w:rsid w:val="00C21A42"/>
    <w:rsid w:val="00C330F0"/>
    <w:rsid w:val="00C42B7F"/>
    <w:rsid w:val="00C45A8F"/>
    <w:rsid w:val="00C62793"/>
    <w:rsid w:val="00C709EA"/>
    <w:rsid w:val="00C71721"/>
    <w:rsid w:val="00C87C58"/>
    <w:rsid w:val="00CA6F08"/>
    <w:rsid w:val="00CB1913"/>
    <w:rsid w:val="00CC4FF5"/>
    <w:rsid w:val="00CC7B85"/>
    <w:rsid w:val="00CC7C87"/>
    <w:rsid w:val="00CE43AA"/>
    <w:rsid w:val="00CF6C1C"/>
    <w:rsid w:val="00CF7FA9"/>
    <w:rsid w:val="00D178DC"/>
    <w:rsid w:val="00D206DB"/>
    <w:rsid w:val="00D270BB"/>
    <w:rsid w:val="00D3654C"/>
    <w:rsid w:val="00D41F57"/>
    <w:rsid w:val="00D66202"/>
    <w:rsid w:val="00D73005"/>
    <w:rsid w:val="00D94F2E"/>
    <w:rsid w:val="00DA6B3C"/>
    <w:rsid w:val="00DE11D2"/>
    <w:rsid w:val="00DE238C"/>
    <w:rsid w:val="00DF0494"/>
    <w:rsid w:val="00E0385A"/>
    <w:rsid w:val="00E122D0"/>
    <w:rsid w:val="00E1691D"/>
    <w:rsid w:val="00E32B03"/>
    <w:rsid w:val="00E62C78"/>
    <w:rsid w:val="00E82800"/>
    <w:rsid w:val="00E8483D"/>
    <w:rsid w:val="00E94CB2"/>
    <w:rsid w:val="00ED226E"/>
    <w:rsid w:val="00ED471E"/>
    <w:rsid w:val="00ED626C"/>
    <w:rsid w:val="00EE3476"/>
    <w:rsid w:val="00EF01B4"/>
    <w:rsid w:val="00F04DDE"/>
    <w:rsid w:val="00F15BF0"/>
    <w:rsid w:val="00F34C1B"/>
    <w:rsid w:val="00F400C7"/>
    <w:rsid w:val="00F5140C"/>
    <w:rsid w:val="00F73E95"/>
    <w:rsid w:val="00F75335"/>
    <w:rsid w:val="00F909C6"/>
    <w:rsid w:val="00F96051"/>
    <w:rsid w:val="00FA5EF6"/>
    <w:rsid w:val="00FD2754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660D"/>
  <w15:docId w15:val="{01CADA8C-091D-4C68-82D4-8CC62A0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link w:val="Heading1Char"/>
    <w:uiPriority w:val="1"/>
    <w:qFormat/>
    <w:pPr>
      <w:ind w:left="227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91"/>
      <w:ind w:left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ListParagraph">
    <w:name w:val="List Paragraph"/>
    <w:basedOn w:val="Normal"/>
    <w:link w:val="ListParagraphChar"/>
    <w:uiPriority w:val="34"/>
    <w:qFormat/>
    <w:pPr>
      <w:spacing w:before="2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57"/>
    </w:pPr>
  </w:style>
  <w:style w:type="paragraph" w:styleId="NormalWeb">
    <w:name w:val="Normal (Web)"/>
    <w:basedOn w:val="Normal"/>
    <w:uiPriority w:val="99"/>
    <w:unhideWhenUsed/>
    <w:rsid w:val="009A6AA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A6A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6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AD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9A6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AD"/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59"/>
    <w:rsid w:val="00727050"/>
    <w:pPr>
      <w:widowControl/>
      <w:autoSpaceDE/>
      <w:autoSpaceDN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050"/>
    <w:rPr>
      <w:color w:val="0000FF" w:themeColor="hyperlink"/>
      <w:u w:val="single"/>
    </w:rPr>
  </w:style>
  <w:style w:type="table" w:customStyle="1" w:styleId="PSCPurple">
    <w:name w:val="PSC_Purple"/>
    <w:basedOn w:val="TableNormal"/>
    <w:uiPriority w:val="99"/>
    <w:rsid w:val="00727050"/>
    <w:pPr>
      <w:widowControl/>
      <w:autoSpaceDE/>
      <w:autoSpaceDN/>
    </w:pPr>
    <w:rPr>
      <w:rFonts w:ascii="Arial" w:hAnsi="Arial" w:cs="Times New Roman"/>
      <w:sz w:val="20"/>
      <w:szCs w:val="20"/>
      <w:lang w:val="en-AU"/>
    </w:rPr>
    <w:tblPr>
      <w:tblStyleRowBandSize w:val="1"/>
      <w:tblBorders>
        <w:top w:val="single" w:sz="8" w:space="0" w:color="auto"/>
        <w:bottom w:val="single" w:sz="8" w:space="0" w:color="BCBEC0"/>
        <w:insideH w:val="single" w:sz="8" w:space="0" w:color="BCBEC0"/>
      </w:tblBorders>
      <w:tblCellMar>
        <w:left w:w="57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6D276A"/>
      </w:tcPr>
    </w:tblStylePr>
  </w:style>
  <w:style w:type="paragraph" w:customStyle="1" w:styleId="TableText">
    <w:name w:val="Table Text"/>
    <w:basedOn w:val="Normal"/>
    <w:qFormat/>
    <w:rsid w:val="00727050"/>
    <w:pPr>
      <w:widowControl/>
      <w:autoSpaceDE/>
      <w:autoSpaceDN/>
      <w:spacing w:before="40" w:after="40" w:line="280" w:lineRule="atLeast"/>
    </w:pPr>
    <w:rPr>
      <w:rFonts w:eastAsiaTheme="minorHAnsi" w:cs="Times New Roman"/>
      <w:sz w:val="20"/>
      <w:szCs w:val="20"/>
      <w:lang w:eastAsia="en-US" w:bidi="ar-SA"/>
    </w:rPr>
  </w:style>
  <w:style w:type="paragraph" w:customStyle="1" w:styleId="TableTextWhite">
    <w:name w:val="Table_Text_White"/>
    <w:basedOn w:val="Normal"/>
    <w:qFormat/>
    <w:rsid w:val="00727050"/>
    <w:pPr>
      <w:widowControl/>
      <w:autoSpaceDE/>
      <w:autoSpaceDN/>
      <w:spacing w:before="40" w:after="40" w:line="280" w:lineRule="atLeast"/>
    </w:pPr>
    <w:rPr>
      <w:rFonts w:eastAsiaTheme="minorHAnsi" w:cs="Times New Roman"/>
      <w:b/>
      <w:color w:val="FFFFFF"/>
      <w:szCs w:val="20"/>
      <w:lang w:eastAsia="en-US" w:bidi="ar-SA"/>
    </w:rPr>
  </w:style>
  <w:style w:type="paragraph" w:styleId="ListBullet">
    <w:name w:val="List Bullet"/>
    <w:basedOn w:val="Normal"/>
    <w:uiPriority w:val="2"/>
    <w:qFormat/>
    <w:rsid w:val="00727050"/>
    <w:pPr>
      <w:widowControl/>
      <w:numPr>
        <w:numId w:val="1"/>
      </w:numPr>
      <w:tabs>
        <w:tab w:val="clear" w:pos="360"/>
        <w:tab w:val="num" w:pos="284"/>
      </w:tabs>
      <w:autoSpaceDE/>
      <w:autoSpaceDN/>
      <w:spacing w:line="280" w:lineRule="atLeast"/>
      <w:ind w:left="284" w:hanging="284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TableBullet">
    <w:name w:val="Table Bullet"/>
    <w:basedOn w:val="ListBullet"/>
    <w:qFormat/>
    <w:rsid w:val="00727050"/>
    <w:pPr>
      <w:tabs>
        <w:tab w:val="clear" w:pos="284"/>
        <w:tab w:val="num" w:pos="360"/>
      </w:tabs>
      <w:ind w:left="360" w:hanging="360"/>
    </w:pPr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727050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727050"/>
    <w:rPr>
      <w:rFonts w:ascii="Calibri" w:hAnsi="Calibri"/>
      <w:szCs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32"/>
    <w:rPr>
      <w:rFonts w:ascii="Tahoma" w:eastAsia="Arial" w:hAnsi="Tahoma" w:cs="Tahoma"/>
      <w:sz w:val="16"/>
      <w:szCs w:val="16"/>
      <w:lang w:val="en-AU" w:eastAsia="en-AU" w:bidi="en-AU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4B5C32"/>
    <w:rPr>
      <w:rFonts w:ascii="Arial" w:eastAsia="Arial" w:hAnsi="Arial" w:cs="Arial"/>
      <w:b/>
      <w:bCs/>
      <w:sz w:val="42"/>
      <w:szCs w:val="42"/>
      <w:lang w:val="en-AU" w:eastAsia="en-AU" w:bidi="en-AU"/>
    </w:rPr>
  </w:style>
  <w:style w:type="table" w:customStyle="1" w:styleId="PSCGreen">
    <w:name w:val="PSC_Green"/>
    <w:basedOn w:val="TableNormal"/>
    <w:uiPriority w:val="99"/>
    <w:rsid w:val="004B5C32"/>
    <w:pPr>
      <w:widowControl/>
      <w:autoSpaceDE/>
      <w:autoSpaceDN/>
      <w:spacing w:line="280" w:lineRule="atLeast"/>
    </w:pPr>
    <w:rPr>
      <w:rFonts w:ascii="Arial" w:eastAsiaTheme="minorEastAsia" w:hAnsi="Arial" w:cs="Times New Roman"/>
      <w:color w:val="FFFFFF" w:themeColor="background1"/>
      <w:sz w:val="20"/>
      <w:szCs w:val="20"/>
      <w:lang w:val="en-AU"/>
    </w:rPr>
    <w:tblPr>
      <w:tblBorders>
        <w:top w:val="single" w:sz="8" w:space="0" w:color="auto"/>
        <w:bottom w:val="single" w:sz="8" w:space="0" w:color="auto"/>
        <w:insideH w:val="single" w:sz="8" w:space="0" w:color="FFFFFF" w:themeColor="background1"/>
      </w:tblBorders>
      <w:tblCellMar>
        <w:left w:w="57" w:type="dxa"/>
        <w:right w:w="0" w:type="dxa"/>
      </w:tblCellMar>
    </w:tblPr>
    <w:tcPr>
      <w:shd w:val="clear" w:color="auto" w:fill="00A88F"/>
    </w:tcPr>
    <w:tblStylePr w:type="firstRow">
      <w:rPr>
        <w:rFonts w:cs="Times New Roman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White0">
    <w:name w:val="Table Text White"/>
    <w:basedOn w:val="Normal"/>
    <w:qFormat/>
    <w:rsid w:val="004B5C32"/>
    <w:pPr>
      <w:widowControl/>
      <w:autoSpaceDE/>
      <w:autoSpaceDN/>
      <w:spacing w:before="40" w:after="40" w:line="280" w:lineRule="atLeast"/>
    </w:pPr>
    <w:rPr>
      <w:rFonts w:eastAsiaTheme="minorEastAsia" w:cs="Times New Roman"/>
      <w:color w:val="FFFFFF"/>
      <w:sz w:val="20"/>
      <w:szCs w:val="20"/>
      <w:lang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4B5C32"/>
    <w:rPr>
      <w:rFonts w:ascii="Arial" w:eastAsia="Arial" w:hAnsi="Arial" w:cs="Arial"/>
      <w:lang w:val="en-AU" w:eastAsia="en-AU" w:bidi="en-AU"/>
    </w:rPr>
  </w:style>
  <w:style w:type="table" w:customStyle="1" w:styleId="TableGrid0">
    <w:name w:val="TableGrid"/>
    <w:rsid w:val="00866E7C"/>
    <w:pPr>
      <w:widowControl/>
      <w:autoSpaceDE/>
      <w:autoSpaceDN/>
    </w:pPr>
    <w:rPr>
      <w:rFonts w:eastAsiaTheme="minorEastAsia" w:cs="Times New Roman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471E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59393B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21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172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172"/>
    <w:rPr>
      <w:rFonts w:ascii="Arial" w:eastAsia="Arial" w:hAnsi="Arial" w:cs="Arial"/>
      <w:b/>
      <w:bCs/>
      <w:sz w:val="20"/>
      <w:szCs w:val="20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sc.nsw.gov.au/workforce-management/capability-framework/the-capability-framework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762905649934387B61C574319875B" ma:contentTypeVersion="22" ma:contentTypeDescription="Create a new document." ma:contentTypeScope="" ma:versionID="45a2e7afc11eed9d52c504765849049b">
  <xsd:schema xmlns:xsd="http://www.w3.org/2001/XMLSchema" xmlns:xs="http://www.w3.org/2001/XMLSchema" xmlns:p="http://schemas.microsoft.com/office/2006/metadata/properties" xmlns:ns1="http://schemas.microsoft.com/sharepoint/v3" xmlns:ns2="2cb9c8c1-a3f8-48df-abd6-a25523cdf4f2" xmlns:ns3="558aa24c-d1f1-4f00-9011-17f3627ae038" targetNamespace="http://schemas.microsoft.com/office/2006/metadata/properties" ma:root="true" ma:fieldsID="93de2971d60a830cf410359698403254" ns1:_="" ns2:_="" ns3:_="">
    <xsd:import namespace="http://schemas.microsoft.com/sharepoint/v3"/>
    <xsd:import namespace="2cb9c8c1-a3f8-48df-abd6-a25523cdf4f2"/>
    <xsd:import namespace="558aa24c-d1f1-4f00-9011-17f3627ae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x0031_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c8c1-a3f8-48df-abd6-a25523cdf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031_" ma:index="23" nillable="true" ma:displayName="1" ma:format="Dropdown" ma:internalName="_x0031_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a24c-d1f1-4f00-9011-17f3627ae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12abd6-6316-4232-8047-9c9e0d1b53b3}" ma:internalName="TaxCatchAll" ma:showField="CatchAllData" ma:web="558aa24c-d1f1-4f00-9011-17f3627ae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31_ xmlns="2cb9c8c1-a3f8-48df-abd6-a25523cdf4f2" xsi:nil="true"/>
    <_ip_UnifiedCompliancePolicyProperties xmlns="http://schemas.microsoft.com/sharepoint/v3" xsi:nil="true"/>
    <_Flow_SignoffStatus xmlns="2cb9c8c1-a3f8-48df-abd6-a25523cdf4f2" xsi:nil="true"/>
    <TaxCatchAll xmlns="558aa24c-d1f1-4f00-9011-17f3627ae038" xsi:nil="true"/>
    <lcf76f155ced4ddcb4097134ff3c332f xmlns="2cb9c8c1-a3f8-48df-abd6-a25523cdf4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C7F81-FD73-47F4-9AE9-5E6257290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FC8C2-ADE8-469D-A811-960956838639}"/>
</file>

<file path=customXml/itemProps3.xml><?xml version="1.0" encoding="utf-8"?>
<ds:datastoreItem xmlns:ds="http://schemas.openxmlformats.org/officeDocument/2006/customXml" ds:itemID="{4B6FDA43-F25D-4C46-94FF-9F4E686FC9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2257</Words>
  <Characters>12393</Characters>
  <Application>Microsoft Office Word</Application>
  <DocSecurity>0</DocSecurity>
  <Lines>1377</Lines>
  <Paragraphs>976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Anbarasu Palanisamy</dc:creator>
  <cp:lastModifiedBy>Olivia Middleton</cp:lastModifiedBy>
  <cp:revision>2</cp:revision>
  <cp:lastPrinted>2020-11-10T22:22:00Z</cp:lastPrinted>
  <dcterms:created xsi:type="dcterms:W3CDTF">2025-10-17T00:57:00Z</dcterms:created>
  <dcterms:modified xsi:type="dcterms:W3CDTF">2025-10-17T00:57:00Z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  <property fmtid="{D5CDD505-2E9C-101B-9397-08002B2CF9AE}" pid="5" name="ContentTypeId">
    <vt:lpwstr>0x010100C5B762905649934387B61C574319875B</vt:lpwstr>
  </property>
</Properties>
</file>