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CEEBE" w14:textId="0BBE0F75" w:rsidR="0069366E" w:rsidRPr="00F56546" w:rsidRDefault="0069366E" w:rsidP="0069366E">
      <w:pPr>
        <w:jc w:val="center"/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</w:pPr>
      <w:r w:rsidRPr="00F56546">
        <w:rPr>
          <w:rFonts w:asciiTheme="majorHAnsi" w:hAnsiTheme="majorHAnsi" w:cs="Calibri Light"/>
          <w:b/>
          <w:sz w:val="28"/>
          <w:szCs w:val="28"/>
        </w:rPr>
        <w:t xml:space="preserve">  </w:t>
      </w:r>
      <w:r w:rsidRPr="00F56546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POSITION DESCRIPTION: </w:t>
      </w:r>
      <w:r w:rsidRPr="00F56546">
        <w:rPr>
          <w:rFonts w:asciiTheme="majorHAnsi" w:hAnsiTheme="majorHAnsi" w:cstheme="majorHAnsi"/>
          <w:color w:val="C00000"/>
          <w:sz w:val="28"/>
          <w:szCs w:val="28"/>
        </w:rPr>
        <w:t>Family, Carers &amp; Friends Program Manager</w:t>
      </w:r>
    </w:p>
    <w:p w14:paraId="562FC005" w14:textId="77777777" w:rsidR="0069366E" w:rsidRPr="002825A8" w:rsidRDefault="0069366E" w:rsidP="0069366E">
      <w:pPr>
        <w:spacing w:before="120" w:after="120"/>
        <w:rPr>
          <w:rFonts w:asciiTheme="majorHAnsi" w:eastAsia="Times New Roman" w:hAnsiTheme="majorHAnsi" w:cstheme="majorHAnsi"/>
          <w:b/>
          <w:color w:val="C00000"/>
          <w:lang w:eastAsia="en-AU"/>
        </w:rPr>
      </w:pPr>
      <w:r w:rsidRPr="002825A8">
        <w:rPr>
          <w:rFonts w:asciiTheme="majorHAnsi" w:eastAsia="Times New Roman" w:hAnsiTheme="majorHAnsi" w:cstheme="majorHAnsi"/>
          <w:b/>
          <w:color w:val="C00000"/>
          <w:lang w:eastAsia="en-AU"/>
        </w:rPr>
        <w:t>POSITION CONTEXT</w:t>
      </w:r>
    </w:p>
    <w:p w14:paraId="2D1905FE" w14:textId="77777777" w:rsidR="00767942" w:rsidRPr="00F56546" w:rsidRDefault="00767942" w:rsidP="0069366E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</w:rPr>
      </w:pPr>
      <w:r w:rsidRPr="00F56546">
        <w:rPr>
          <w:rFonts w:asciiTheme="majorHAnsi" w:hAnsiTheme="majorHAnsi" w:cstheme="majorHAnsi"/>
        </w:rPr>
        <w:t>The Glen Group operates residential drug and alcohol rehabilitation centres on the Central Coast of NSW – The Glen for Men at Chittaway Point (est. 1994) and The Glen for Women at Wyong Creek (est. 2022). We welcome Indigenous and non-Indigenous men and women from all over Australia.</w:t>
      </w:r>
    </w:p>
    <w:p w14:paraId="6B24FC15" w14:textId="232A695E" w:rsidR="0069366E" w:rsidRPr="00F56546" w:rsidRDefault="0069366E" w:rsidP="0069366E">
      <w:pPr>
        <w:autoSpaceDE w:val="0"/>
        <w:autoSpaceDN w:val="0"/>
        <w:adjustRightInd w:val="0"/>
        <w:spacing w:before="120" w:after="120"/>
        <w:rPr>
          <w:rFonts w:asciiTheme="majorHAnsi" w:hAnsiTheme="majorHAnsi" w:cstheme="majorHAnsi"/>
        </w:rPr>
      </w:pPr>
      <w:r w:rsidRPr="00F56546">
        <w:rPr>
          <w:rFonts w:asciiTheme="majorHAnsi" w:hAnsiTheme="majorHAnsi" w:cstheme="majorHAnsi"/>
        </w:rPr>
        <w:t xml:space="preserve">The founding motivation of The Glen was, and still is today, to reduce the over representation of Indigenous Australians in the prison system. The Glen is an award-winning service that treats clients holistically (physically, mentally, culturally, spiritually) and provide individually tailored care. </w:t>
      </w:r>
      <w:r w:rsidRPr="00F56546">
        <w:rPr>
          <w:rFonts w:asciiTheme="majorHAnsi" w:hAnsiTheme="majorHAnsi" w:cstheme="majorHAnsi"/>
        </w:rPr>
        <w:br/>
      </w:r>
      <w:r w:rsidRPr="00F56546">
        <w:rPr>
          <w:rFonts w:asciiTheme="majorHAnsi" w:hAnsiTheme="majorHAnsi" w:cstheme="majorHAnsi"/>
        </w:rPr>
        <w:br/>
      </w:r>
      <w:r w:rsidRPr="002825A8">
        <w:rPr>
          <w:rFonts w:asciiTheme="majorHAnsi" w:eastAsia="Times New Roman" w:hAnsiTheme="majorHAnsi" w:cstheme="majorHAnsi"/>
          <w:b/>
          <w:color w:val="C00000"/>
          <w:lang w:eastAsia="en-AU"/>
        </w:rPr>
        <w:t>CONDITIONS OF EMPLOYMENT</w:t>
      </w:r>
    </w:p>
    <w:p w14:paraId="04E79AD5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38 hours per week</w:t>
      </w:r>
    </w:p>
    <w:p w14:paraId="442B91C1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Other conditions of employment are identified in your contract for employment and in the Modern Award as identified in your employment contract.</w:t>
      </w:r>
    </w:p>
    <w:p w14:paraId="568371AD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All employees are required to comply with all policies in force at the time of commencement of employment and those implemented from time to time.</w:t>
      </w:r>
    </w:p>
    <w:p w14:paraId="0BACEE84" w14:textId="77777777" w:rsidR="0069366E" w:rsidRPr="002825A8" w:rsidRDefault="0069366E" w:rsidP="0069366E">
      <w:pPr>
        <w:spacing w:before="120" w:after="120"/>
        <w:rPr>
          <w:rFonts w:asciiTheme="majorHAnsi" w:eastAsia="Times New Roman" w:hAnsiTheme="majorHAnsi" w:cstheme="majorHAnsi"/>
          <w:b/>
          <w:color w:val="C00000"/>
          <w:lang w:eastAsia="en-AU"/>
        </w:rPr>
      </w:pPr>
      <w:r w:rsidRPr="002825A8">
        <w:rPr>
          <w:rFonts w:asciiTheme="majorHAnsi" w:eastAsia="Times New Roman" w:hAnsiTheme="majorHAnsi" w:cstheme="majorHAnsi"/>
          <w:b/>
          <w:color w:val="C00000"/>
          <w:lang w:eastAsia="en-AU"/>
        </w:rPr>
        <w:t>POSITION OBJECTIVE</w:t>
      </w:r>
    </w:p>
    <w:p w14:paraId="0446EA51" w14:textId="27FCA523" w:rsidR="0069366E" w:rsidRPr="00F56546" w:rsidRDefault="0069366E" w:rsidP="0069366E">
      <w:pPr>
        <w:spacing w:before="120" w:after="120"/>
        <w:rPr>
          <w:rFonts w:asciiTheme="majorHAnsi" w:eastAsia="Times New Roman" w:hAnsiTheme="majorHAnsi" w:cstheme="majorHAnsi"/>
          <w:lang w:eastAsia="en-AU"/>
        </w:rPr>
      </w:pPr>
      <w:r w:rsidRPr="00F56546">
        <w:rPr>
          <w:rFonts w:asciiTheme="majorHAnsi" w:eastAsia="Times New Roman" w:hAnsiTheme="majorHAnsi" w:cstheme="majorHAnsi"/>
          <w:lang w:eastAsia="en-AU"/>
        </w:rPr>
        <w:t>The Glen Group’s FCF Program Manager’s</w:t>
      </w:r>
      <w:r w:rsidRPr="00F56546">
        <w:rPr>
          <w:rFonts w:asciiTheme="majorHAnsi" w:eastAsia="Times New Roman" w:hAnsiTheme="majorHAnsi" w:cstheme="majorHAnsi"/>
          <w:bCs/>
          <w:lang w:eastAsia="en-AU"/>
        </w:rPr>
        <w:t xml:space="preserve"> primary </w:t>
      </w:r>
      <w:r w:rsidRPr="00F56546">
        <w:rPr>
          <w:rFonts w:asciiTheme="majorHAnsi" w:eastAsia="Times New Roman" w:hAnsiTheme="majorHAnsi" w:cstheme="majorHAnsi"/>
          <w:lang w:eastAsia="en-AU"/>
        </w:rPr>
        <w:t xml:space="preserve">objective is to </w:t>
      </w:r>
      <w:r w:rsidR="00767942" w:rsidRPr="00F56546">
        <w:rPr>
          <w:rFonts w:asciiTheme="majorHAnsi" w:eastAsia="Times New Roman" w:hAnsiTheme="majorHAnsi" w:cstheme="majorHAnsi"/>
          <w:lang w:eastAsia="en-AU"/>
        </w:rPr>
        <w:t>d</w:t>
      </w:r>
      <w:r w:rsidRPr="00F56546">
        <w:rPr>
          <w:rFonts w:asciiTheme="majorHAnsi" w:eastAsia="Times New Roman" w:hAnsiTheme="majorHAnsi" w:cstheme="majorHAnsi"/>
          <w:lang w:eastAsia="en-AU"/>
        </w:rPr>
        <w:t>eliver culturally responsive, family-inclusive, and evidence-based support to families, carers, and friends of people using alcohol or other drugs (AOD), with the aim of improving treatment outcomes for their loved ones</w:t>
      </w:r>
      <w:r w:rsidRPr="00F56546">
        <w:rPr>
          <w:rFonts w:asciiTheme="majorHAnsi" w:eastAsia="Times New Roman" w:hAnsiTheme="majorHAnsi" w:cstheme="majorHAnsi"/>
          <w:lang w:eastAsia="en-AU"/>
        </w:rPr>
        <w:t>.</w:t>
      </w:r>
    </w:p>
    <w:p w14:paraId="157899B6" w14:textId="02E2FAD6" w:rsidR="001D41A1" w:rsidRPr="002825A8" w:rsidRDefault="002825A8" w:rsidP="00F56546">
      <w:pPr>
        <w:spacing w:before="120" w:after="120"/>
        <w:rPr>
          <w:rFonts w:asciiTheme="majorHAnsi" w:eastAsia="Times New Roman" w:hAnsiTheme="majorHAnsi" w:cstheme="majorHAnsi"/>
          <w:b/>
          <w:color w:val="C00000"/>
          <w:lang w:eastAsia="en-AU"/>
        </w:rPr>
      </w:pPr>
      <w:r>
        <w:rPr>
          <w:rFonts w:asciiTheme="majorHAnsi" w:eastAsia="Times New Roman" w:hAnsiTheme="majorHAnsi" w:cstheme="majorHAnsi"/>
          <w:b/>
          <w:color w:val="C00000"/>
          <w:lang w:eastAsia="en-AU"/>
        </w:rPr>
        <w:t>ABOUT YOUR ROLE</w:t>
      </w:r>
    </w:p>
    <w:p w14:paraId="4B82360B" w14:textId="0F7757CE" w:rsidR="0069366E" w:rsidRPr="00F56546" w:rsidRDefault="00767942" w:rsidP="0069366E">
      <w:pPr>
        <w:spacing w:before="120" w:after="120"/>
        <w:rPr>
          <w:rFonts w:asciiTheme="majorHAnsi" w:eastAsia="Times New Roman" w:hAnsiTheme="majorHAnsi" w:cstheme="majorHAnsi"/>
          <w:bCs/>
          <w:lang w:eastAsia="en-AU"/>
        </w:rPr>
      </w:pPr>
      <w:r w:rsidRPr="00F56546">
        <w:rPr>
          <w:rFonts w:asciiTheme="majorHAnsi" w:eastAsia="Times New Roman" w:hAnsiTheme="majorHAnsi" w:cstheme="majorHAnsi"/>
          <w:bCs/>
          <w:lang w:eastAsia="en-AU"/>
        </w:rPr>
        <w:t>The role requires the delivery of the</w:t>
      </w:r>
      <w:r w:rsidR="001D41A1" w:rsidRPr="00F56546">
        <w:rPr>
          <w:rFonts w:asciiTheme="majorHAnsi" w:eastAsia="Times New Roman" w:hAnsiTheme="majorHAnsi" w:cstheme="majorHAnsi"/>
          <w:bCs/>
          <w:lang w:eastAsia="en-AU"/>
        </w:rPr>
        <w:t xml:space="preserve"> following programs:</w:t>
      </w:r>
    </w:p>
    <w:p w14:paraId="52DB4F3A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F</w:t>
      </w:r>
      <w:r w:rsidRPr="002825A8">
        <w:rPr>
          <w:rFonts w:asciiTheme="majorHAnsi" w:hAnsiTheme="majorHAnsi"/>
        </w:rPr>
        <w:t>acilitating</w:t>
      </w:r>
      <w:r w:rsidRPr="002825A8">
        <w:rPr>
          <w:rFonts w:asciiTheme="majorHAnsi" w:hAnsiTheme="majorHAnsi"/>
        </w:rPr>
        <w:t xml:space="preserve"> quarterly</w:t>
      </w:r>
      <w:r w:rsidRPr="002825A8">
        <w:rPr>
          <w:rFonts w:asciiTheme="majorHAnsi" w:hAnsiTheme="majorHAnsi"/>
        </w:rPr>
        <w:t xml:space="preserve"> </w:t>
      </w:r>
      <w:r w:rsidRPr="002825A8">
        <w:rPr>
          <w:rFonts w:asciiTheme="majorHAnsi" w:hAnsiTheme="majorHAnsi"/>
        </w:rPr>
        <w:t>family days</w:t>
      </w:r>
      <w:r w:rsidRPr="002825A8">
        <w:rPr>
          <w:rFonts w:asciiTheme="majorHAnsi" w:hAnsiTheme="majorHAnsi"/>
        </w:rPr>
        <w:t>,</w:t>
      </w:r>
    </w:p>
    <w:p w14:paraId="144E85B6" w14:textId="4E081DC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 xml:space="preserve">Monthly online </w:t>
      </w:r>
      <w:r w:rsidR="00F56546" w:rsidRPr="002825A8">
        <w:rPr>
          <w:rFonts w:asciiTheme="majorHAnsi" w:hAnsiTheme="majorHAnsi"/>
        </w:rPr>
        <w:t xml:space="preserve">family support groups </w:t>
      </w:r>
    </w:p>
    <w:p w14:paraId="7DC4990B" w14:textId="09971571" w:rsidR="0069366E" w:rsidRPr="002825A8" w:rsidRDefault="00767942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1-on-1 support and m</w:t>
      </w:r>
      <w:r w:rsidR="001D41A1" w:rsidRPr="002825A8">
        <w:rPr>
          <w:rFonts w:asciiTheme="majorHAnsi" w:hAnsiTheme="majorHAnsi"/>
        </w:rPr>
        <w:t xml:space="preserve">aking appropriate referrals to other service providers </w:t>
      </w:r>
    </w:p>
    <w:p w14:paraId="2C2DEEFB" w14:textId="65BBEE2F" w:rsidR="00F56546" w:rsidRPr="00F56546" w:rsidRDefault="001D41A1" w:rsidP="0069366E">
      <w:pPr>
        <w:spacing w:before="120" w:after="120"/>
        <w:rPr>
          <w:rFonts w:asciiTheme="majorHAnsi" w:eastAsia="Times New Roman" w:hAnsiTheme="majorHAnsi" w:cstheme="majorHAnsi"/>
          <w:bCs/>
          <w:lang w:eastAsia="en-AU"/>
        </w:rPr>
      </w:pPr>
      <w:r w:rsidRPr="00F56546">
        <w:rPr>
          <w:rFonts w:asciiTheme="majorHAnsi" w:eastAsia="Times New Roman" w:hAnsiTheme="majorHAnsi" w:cstheme="majorHAnsi"/>
          <w:lang w:eastAsia="en-AU"/>
        </w:rPr>
        <w:t xml:space="preserve">The FCF </w:t>
      </w:r>
      <w:r w:rsidRPr="00F56546">
        <w:rPr>
          <w:rFonts w:asciiTheme="majorHAnsi" w:eastAsia="Times New Roman" w:hAnsiTheme="majorHAnsi" w:cstheme="majorHAnsi"/>
          <w:lang w:eastAsia="en-AU"/>
        </w:rPr>
        <w:t>Program Manager</w:t>
      </w:r>
      <w:r w:rsidRPr="00F56546">
        <w:rPr>
          <w:rFonts w:asciiTheme="majorHAnsi" w:eastAsia="Times New Roman" w:hAnsiTheme="majorHAnsi" w:cstheme="majorHAnsi"/>
          <w:lang w:eastAsia="en-AU"/>
        </w:rPr>
        <w:t xml:space="preserve"> will work closely with the </w:t>
      </w:r>
      <w:r w:rsidR="0069366E" w:rsidRPr="00F56546">
        <w:rPr>
          <w:rFonts w:asciiTheme="majorHAnsi" w:eastAsia="Times New Roman" w:hAnsiTheme="majorHAnsi" w:cstheme="majorHAnsi"/>
          <w:bCs/>
          <w:lang w:eastAsia="en-AU"/>
        </w:rPr>
        <w:t xml:space="preserve">Head of Corporate Services and Shared Services team, particularly data and compliance. </w:t>
      </w:r>
      <w:r w:rsidRPr="00F56546">
        <w:rPr>
          <w:rFonts w:asciiTheme="majorHAnsi" w:eastAsia="Times New Roman" w:hAnsiTheme="majorHAnsi" w:cstheme="majorHAnsi"/>
          <w:bCs/>
          <w:lang w:eastAsia="en-AU"/>
        </w:rPr>
        <w:t xml:space="preserve">You will be expected to understand reporting requirements and prepare KPI Reporting template to the funding body. </w:t>
      </w:r>
      <w:r w:rsidR="0069366E" w:rsidRPr="00F56546">
        <w:rPr>
          <w:rFonts w:asciiTheme="majorHAnsi" w:eastAsia="Times New Roman" w:hAnsiTheme="majorHAnsi" w:cstheme="majorHAnsi"/>
          <w:bCs/>
          <w:lang w:eastAsia="en-AU"/>
        </w:rPr>
        <w:t xml:space="preserve">You will be expected to provide suggestions to modify the client management system, so the system can help staff, support clients. </w:t>
      </w:r>
    </w:p>
    <w:p w14:paraId="15DFABEC" w14:textId="3A0C8E93" w:rsidR="00F56546" w:rsidRPr="00F56546" w:rsidRDefault="00F56546" w:rsidP="00F56546">
      <w:pPr>
        <w:spacing w:before="120" w:after="120"/>
        <w:rPr>
          <w:rFonts w:asciiTheme="majorHAnsi" w:eastAsia="Times New Roman" w:hAnsiTheme="majorHAnsi" w:cstheme="majorHAnsi"/>
          <w:lang w:eastAsia="en-AU"/>
        </w:rPr>
      </w:pPr>
      <w:r w:rsidRPr="00F56546">
        <w:rPr>
          <w:rFonts w:asciiTheme="majorHAnsi" w:eastAsia="Times New Roman" w:hAnsiTheme="majorHAnsi" w:cstheme="majorHAnsi"/>
          <w:lang w:eastAsia="en-AU"/>
        </w:rPr>
        <w:t>The role will involve working closely with the leadership tea</w:t>
      </w:r>
      <w:r w:rsidRPr="00F56546">
        <w:rPr>
          <w:rFonts w:asciiTheme="majorHAnsi" w:eastAsia="Times New Roman" w:hAnsiTheme="majorHAnsi" w:cstheme="majorHAnsi"/>
          <w:lang w:eastAsia="en-AU"/>
        </w:rPr>
        <w:t>m, particularly with</w:t>
      </w:r>
      <w:r w:rsidRPr="00F56546">
        <w:rPr>
          <w:rFonts w:asciiTheme="majorHAnsi" w:eastAsia="Times New Roman" w:hAnsiTheme="majorHAnsi" w:cstheme="majorHAnsi"/>
          <w:lang w:eastAsia="en-AU"/>
        </w:rPr>
        <w:t>:</w:t>
      </w:r>
    </w:p>
    <w:p w14:paraId="40D33A07" w14:textId="77777777" w:rsidR="00F56546" w:rsidRPr="002825A8" w:rsidRDefault="00F56546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Executive Director (clinical)</w:t>
      </w:r>
    </w:p>
    <w:p w14:paraId="6CB706A0" w14:textId="26AE0A1B" w:rsidR="0069366E" w:rsidRPr="002825A8" w:rsidRDefault="00F56546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Head of Corporate Services (non-clinical)</w:t>
      </w:r>
    </w:p>
    <w:p w14:paraId="7CD702C9" w14:textId="77777777" w:rsidR="002825A8" w:rsidRDefault="002825A8">
      <w:pPr>
        <w:spacing w:after="160" w:line="278" w:lineRule="auto"/>
        <w:rPr>
          <w:rFonts w:asciiTheme="majorHAnsi" w:eastAsia="Times New Roman" w:hAnsiTheme="majorHAnsi" w:cstheme="majorHAnsi"/>
          <w:b/>
          <w:lang w:eastAsia="en-AU"/>
        </w:rPr>
      </w:pPr>
      <w:r>
        <w:rPr>
          <w:rFonts w:asciiTheme="majorHAnsi" w:eastAsia="Times New Roman" w:hAnsiTheme="majorHAnsi" w:cstheme="majorHAnsi"/>
          <w:b/>
          <w:lang w:eastAsia="en-AU"/>
        </w:rPr>
        <w:br w:type="page"/>
      </w:r>
    </w:p>
    <w:p w14:paraId="44861F7C" w14:textId="7D568FC9" w:rsidR="0069366E" w:rsidRPr="002825A8" w:rsidRDefault="0069366E" w:rsidP="0069366E">
      <w:pPr>
        <w:spacing w:before="120" w:after="120"/>
        <w:rPr>
          <w:rFonts w:asciiTheme="majorHAnsi" w:eastAsia="Times New Roman" w:hAnsiTheme="majorHAnsi" w:cstheme="majorHAnsi"/>
          <w:b/>
          <w:color w:val="C00000"/>
          <w:lang w:eastAsia="en-AU"/>
        </w:rPr>
      </w:pPr>
      <w:r w:rsidRPr="002825A8">
        <w:rPr>
          <w:rFonts w:asciiTheme="majorHAnsi" w:eastAsia="Times New Roman" w:hAnsiTheme="majorHAnsi" w:cstheme="majorHAnsi"/>
          <w:b/>
          <w:color w:val="C00000"/>
          <w:lang w:eastAsia="en-AU"/>
        </w:rPr>
        <w:lastRenderedPageBreak/>
        <w:t xml:space="preserve">REQUIRED SKILLS, EXEPERIENCE &amp; QUALIFICATIONS </w:t>
      </w:r>
    </w:p>
    <w:p w14:paraId="063F1043" w14:textId="14660756" w:rsidR="0069366E" w:rsidRPr="00F56546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 xml:space="preserve">Relevant qualifications in </w:t>
      </w:r>
      <w:r w:rsidRPr="00F56546">
        <w:rPr>
          <w:rFonts w:asciiTheme="majorHAnsi" w:hAnsiTheme="majorHAnsi"/>
        </w:rPr>
        <w:t xml:space="preserve">community services (drug and alcohol), </w:t>
      </w:r>
      <w:r w:rsidRPr="00F56546">
        <w:rPr>
          <w:rFonts w:asciiTheme="majorHAnsi" w:hAnsiTheme="majorHAnsi"/>
        </w:rPr>
        <w:t>social work, psychology, counselling, or related field.</w:t>
      </w:r>
    </w:p>
    <w:p w14:paraId="4CCE05D3" w14:textId="45A2045D" w:rsidR="0069366E" w:rsidRPr="00F56546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Strong understanding of the needs and challenges faced by families affected by AOD use.</w:t>
      </w:r>
    </w:p>
    <w:p w14:paraId="248243F0" w14:textId="616305B9" w:rsidR="0069366E" w:rsidRPr="00F56546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Knowledge of culturally responsive</w:t>
      </w:r>
      <w:r w:rsidRPr="00F56546">
        <w:rPr>
          <w:rFonts w:asciiTheme="majorHAnsi" w:hAnsiTheme="majorHAnsi"/>
        </w:rPr>
        <w:t>, strength-based</w:t>
      </w:r>
      <w:r w:rsidRPr="00F56546">
        <w:rPr>
          <w:rFonts w:asciiTheme="majorHAnsi" w:hAnsiTheme="majorHAnsi"/>
        </w:rPr>
        <w:t xml:space="preserve"> and trauma-informed practices.</w:t>
      </w:r>
    </w:p>
    <w:p w14:paraId="185CFCC3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Project management skills and the ability to start and execute a new program</w:t>
      </w:r>
    </w:p>
    <w:p w14:paraId="577EE1E4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 xml:space="preserve">Networking and relationship management skills </w:t>
      </w:r>
    </w:p>
    <w:p w14:paraId="152A4B9A" w14:textId="53BE7652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 xml:space="preserve">The ability to make measured decisions, based on facts </w:t>
      </w:r>
    </w:p>
    <w:p w14:paraId="12A31735" w14:textId="238F45DF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 xml:space="preserve">The ability to manage </w:t>
      </w:r>
      <w:r w:rsidRPr="002825A8">
        <w:rPr>
          <w:rFonts w:asciiTheme="majorHAnsi" w:hAnsiTheme="majorHAnsi"/>
        </w:rPr>
        <w:t>staff and volunteers</w:t>
      </w:r>
    </w:p>
    <w:p w14:paraId="4E2AE921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 xml:space="preserve">Leadership &amp; role modelling The Glen Group values </w:t>
      </w:r>
    </w:p>
    <w:p w14:paraId="5F3E7386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Excellent communication skills (verbal and written)</w:t>
      </w:r>
    </w:p>
    <w:p w14:paraId="79E2C207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Good computer &amp; technology skills (inc. experience with client management systems)</w:t>
      </w:r>
    </w:p>
    <w:p w14:paraId="6002571D" w14:textId="77777777" w:rsidR="0069366E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>Experience in running group counselling sessions</w:t>
      </w:r>
    </w:p>
    <w:p w14:paraId="470183A4" w14:textId="325E6777" w:rsidR="00F56546" w:rsidRPr="002825A8" w:rsidRDefault="0069366E" w:rsidP="002825A8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2825A8">
        <w:rPr>
          <w:rFonts w:asciiTheme="majorHAnsi" w:hAnsiTheme="majorHAnsi"/>
        </w:rPr>
        <w:t xml:space="preserve">Independent problem-solving ability </w:t>
      </w:r>
    </w:p>
    <w:p w14:paraId="763CB294" w14:textId="40E7C42A" w:rsidR="0069366E" w:rsidRPr="002825A8" w:rsidRDefault="0069366E" w:rsidP="00F56546">
      <w:pPr>
        <w:spacing w:before="120" w:after="120"/>
        <w:rPr>
          <w:rFonts w:asciiTheme="majorHAnsi" w:eastAsia="Times New Roman" w:hAnsiTheme="majorHAnsi" w:cstheme="majorHAnsi"/>
          <w:b/>
          <w:bCs/>
          <w:color w:val="C00000"/>
          <w:lang w:eastAsia="en-AU"/>
        </w:rPr>
      </w:pPr>
      <w:r w:rsidRPr="002825A8">
        <w:rPr>
          <w:rFonts w:asciiTheme="majorHAnsi" w:eastAsia="Times New Roman" w:hAnsiTheme="majorHAnsi" w:cstheme="majorHAnsi"/>
          <w:b/>
          <w:color w:val="C00000"/>
          <w:lang w:eastAsia="en-AU"/>
        </w:rPr>
        <w:t>RESPONSIBILITIES</w:t>
      </w:r>
    </w:p>
    <w:p w14:paraId="7102D348" w14:textId="77777777" w:rsidR="0069366E" w:rsidRPr="00F56546" w:rsidRDefault="0069366E" w:rsidP="0069366E">
      <w:pPr>
        <w:rPr>
          <w:rFonts w:asciiTheme="majorHAnsi" w:hAnsiTheme="majorHAnsi"/>
          <w:b/>
          <w:bCs/>
        </w:rPr>
      </w:pPr>
      <w:r w:rsidRPr="00F56546">
        <w:rPr>
          <w:rFonts w:asciiTheme="majorHAnsi" w:hAnsiTheme="majorHAnsi"/>
          <w:b/>
          <w:bCs/>
        </w:rPr>
        <w:t>Program Responsibilities:</w:t>
      </w:r>
    </w:p>
    <w:p w14:paraId="147056E9" w14:textId="77777777" w:rsidR="0069366E" w:rsidRPr="00F56546" w:rsidRDefault="0069366E" w:rsidP="0069366E">
      <w:pPr>
        <w:pStyle w:val="ListParagraph"/>
        <w:numPr>
          <w:ilvl w:val="0"/>
          <w:numId w:val="11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Organise quarterly on-site Family Days.</w:t>
      </w:r>
    </w:p>
    <w:p w14:paraId="34C2F5E6" w14:textId="77777777" w:rsidR="0069366E" w:rsidRPr="00F56546" w:rsidRDefault="0069366E" w:rsidP="0069366E">
      <w:pPr>
        <w:pStyle w:val="ListParagraph"/>
        <w:numPr>
          <w:ilvl w:val="0"/>
          <w:numId w:val="11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Facilitate monthly online Family Support Group (“The Glen Anon”).</w:t>
      </w:r>
    </w:p>
    <w:p w14:paraId="36603672" w14:textId="77777777" w:rsidR="0069366E" w:rsidRPr="00F56546" w:rsidRDefault="0069366E" w:rsidP="0069366E">
      <w:pPr>
        <w:pStyle w:val="ListParagraph"/>
        <w:numPr>
          <w:ilvl w:val="0"/>
          <w:numId w:val="11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Provide telephone outreach and support.</w:t>
      </w:r>
    </w:p>
    <w:p w14:paraId="24158E9B" w14:textId="77777777" w:rsidR="0069366E" w:rsidRPr="00F56546" w:rsidRDefault="0069366E" w:rsidP="0069366E">
      <w:pPr>
        <w:pStyle w:val="ListParagraph"/>
        <w:numPr>
          <w:ilvl w:val="0"/>
          <w:numId w:val="11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Offer relationship and family counselling (on-site or online).</w:t>
      </w:r>
    </w:p>
    <w:p w14:paraId="6A0C85F4" w14:textId="77777777" w:rsidR="0069366E" w:rsidRPr="00F56546" w:rsidRDefault="0069366E" w:rsidP="0069366E">
      <w:pPr>
        <w:rPr>
          <w:rFonts w:asciiTheme="majorHAnsi" w:hAnsiTheme="majorHAnsi"/>
          <w:b/>
          <w:bCs/>
        </w:rPr>
      </w:pPr>
      <w:r w:rsidRPr="00F56546">
        <w:rPr>
          <w:rFonts w:asciiTheme="majorHAnsi" w:hAnsiTheme="majorHAnsi"/>
          <w:b/>
          <w:bCs/>
        </w:rPr>
        <w:t xml:space="preserve">Clinical responsibilities </w:t>
      </w:r>
    </w:p>
    <w:p w14:paraId="7D7BE3F0" w14:textId="77777777" w:rsidR="0069366E" w:rsidRPr="00F56546" w:rsidRDefault="0069366E" w:rsidP="0069366E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Implement family-inclusive practices into intake and case management.</w:t>
      </w:r>
    </w:p>
    <w:p w14:paraId="14E46986" w14:textId="77777777" w:rsidR="0069366E" w:rsidRPr="00F56546" w:rsidRDefault="0069366E" w:rsidP="0069366E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Conduct screening, comprehensive assessment, care planning and collect regular outcome measures (COMS).</w:t>
      </w:r>
    </w:p>
    <w:p w14:paraId="19B0EC8F" w14:textId="77777777" w:rsidR="0069366E" w:rsidRPr="00F56546" w:rsidRDefault="0069366E" w:rsidP="0069366E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Develop individual care plans in collaboration with clients.</w:t>
      </w:r>
    </w:p>
    <w:p w14:paraId="336FEA3D" w14:textId="77777777" w:rsidR="0069366E" w:rsidRPr="00F56546" w:rsidRDefault="0069366E" w:rsidP="0069366E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Participate in client case review and planning meetings.</w:t>
      </w:r>
    </w:p>
    <w:p w14:paraId="6779FA27" w14:textId="77777777" w:rsidR="0069366E" w:rsidRPr="00F56546" w:rsidRDefault="0069366E" w:rsidP="0069366E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Provide AOD harm reduction information and advice.</w:t>
      </w:r>
    </w:p>
    <w:p w14:paraId="4D7E9BC2" w14:textId="77777777" w:rsidR="0069366E" w:rsidRPr="00F56546" w:rsidRDefault="0069366E" w:rsidP="0069366E">
      <w:pPr>
        <w:pStyle w:val="ListParagraph"/>
        <w:numPr>
          <w:ilvl w:val="0"/>
          <w:numId w:val="10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Maintain data on clinical management system and submit reports as required.</w:t>
      </w:r>
    </w:p>
    <w:p w14:paraId="7242575E" w14:textId="77777777" w:rsidR="0069366E" w:rsidRPr="00F56546" w:rsidRDefault="0069366E" w:rsidP="0069366E">
      <w:pPr>
        <w:rPr>
          <w:rFonts w:asciiTheme="majorHAnsi" w:hAnsiTheme="majorHAnsi"/>
          <w:b/>
          <w:bCs/>
        </w:rPr>
      </w:pPr>
      <w:r w:rsidRPr="00F56546">
        <w:rPr>
          <w:rFonts w:asciiTheme="majorHAnsi" w:hAnsiTheme="majorHAnsi"/>
          <w:b/>
          <w:bCs/>
        </w:rPr>
        <w:t>Reporting Requirements:</w:t>
      </w:r>
    </w:p>
    <w:p w14:paraId="761EAB5A" w14:textId="77777777" w:rsidR="0069366E" w:rsidRPr="00F56546" w:rsidRDefault="0069366E" w:rsidP="0069366E">
      <w:pPr>
        <w:pStyle w:val="ListParagraph"/>
        <w:numPr>
          <w:ilvl w:val="0"/>
          <w:numId w:val="13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Submit monthly and biannual reports aligned with NSW AOD Minimum Data Set.</w:t>
      </w:r>
    </w:p>
    <w:p w14:paraId="11A0A5CB" w14:textId="34A68799" w:rsidR="0069366E" w:rsidRPr="00F56546" w:rsidRDefault="00F56546" w:rsidP="0069366E">
      <w:pPr>
        <w:pStyle w:val="ListParagraph"/>
        <w:numPr>
          <w:ilvl w:val="0"/>
          <w:numId w:val="13"/>
        </w:numPr>
        <w:spacing w:after="160" w:line="278" w:lineRule="auto"/>
        <w:rPr>
          <w:rFonts w:asciiTheme="majorHAnsi" w:hAnsiTheme="majorHAnsi"/>
        </w:rPr>
      </w:pPr>
      <w:r>
        <w:rPr>
          <w:rFonts w:asciiTheme="majorHAnsi" w:hAnsiTheme="majorHAnsi"/>
        </w:rPr>
        <w:t>Prepare</w:t>
      </w:r>
      <w:r w:rsidR="0069366E" w:rsidRPr="00F56546">
        <w:rPr>
          <w:rFonts w:asciiTheme="majorHAnsi" w:hAnsiTheme="majorHAnsi"/>
        </w:rPr>
        <w:t xml:space="preserve"> detailed Implementation Plan and Budget </w:t>
      </w:r>
      <w:r>
        <w:rPr>
          <w:rFonts w:asciiTheme="majorHAnsi" w:hAnsiTheme="majorHAnsi"/>
        </w:rPr>
        <w:t>(with Head of Corporate Services)</w:t>
      </w:r>
    </w:p>
    <w:p w14:paraId="5B05073B" w14:textId="77777777" w:rsidR="0069366E" w:rsidRPr="00F56546" w:rsidRDefault="0069366E" w:rsidP="0069366E">
      <w:pPr>
        <w:pStyle w:val="ListParagraph"/>
        <w:numPr>
          <w:ilvl w:val="0"/>
          <w:numId w:val="13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Submit progress reports on the activity carried out, milestones met, and budget status.</w:t>
      </w:r>
    </w:p>
    <w:p w14:paraId="6AF33BE5" w14:textId="77777777" w:rsidR="0069366E" w:rsidRPr="00F56546" w:rsidRDefault="0069366E" w:rsidP="0069366E">
      <w:pPr>
        <w:pStyle w:val="ListParagraph"/>
        <w:numPr>
          <w:ilvl w:val="0"/>
          <w:numId w:val="13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Provide final report documenting completion of the activity within three months of the activity end date.</w:t>
      </w:r>
    </w:p>
    <w:p w14:paraId="11287C76" w14:textId="77777777" w:rsidR="0069366E" w:rsidRPr="00F56546" w:rsidRDefault="0069366E" w:rsidP="0069366E">
      <w:pPr>
        <w:pStyle w:val="ListParagraph"/>
        <w:numPr>
          <w:ilvl w:val="0"/>
          <w:numId w:val="13"/>
        </w:numPr>
        <w:spacing w:after="160" w:line="278" w:lineRule="auto"/>
        <w:rPr>
          <w:rFonts w:asciiTheme="majorHAnsi" w:hAnsiTheme="majorHAnsi"/>
        </w:rPr>
      </w:pPr>
      <w:r w:rsidRPr="00F56546">
        <w:rPr>
          <w:rFonts w:asciiTheme="majorHAnsi" w:hAnsiTheme="majorHAnsi"/>
        </w:rPr>
        <w:t>Participate in regular review meetings and performance evaluations.</w:t>
      </w:r>
    </w:p>
    <w:p w14:paraId="61E4A54B" w14:textId="77777777" w:rsidR="0069366E" w:rsidRPr="00F56546" w:rsidRDefault="0069366E" w:rsidP="0069366E">
      <w:pPr>
        <w:spacing w:after="160" w:line="278" w:lineRule="auto"/>
        <w:rPr>
          <w:rFonts w:asciiTheme="majorHAnsi" w:hAnsiTheme="majorHAnsi"/>
        </w:rPr>
      </w:pPr>
    </w:p>
    <w:p w14:paraId="331E4683" w14:textId="77777777" w:rsidR="0069366E" w:rsidRPr="00F56546" w:rsidRDefault="0069366E" w:rsidP="0069366E">
      <w:pPr>
        <w:spacing w:before="120" w:after="120"/>
        <w:rPr>
          <w:rFonts w:asciiTheme="majorHAnsi" w:hAnsiTheme="majorHAnsi" w:cs="Calibri Light"/>
        </w:rPr>
      </w:pPr>
    </w:p>
    <w:p w14:paraId="2B83DF2B" w14:textId="77777777" w:rsidR="0069366E" w:rsidRPr="00F56546" w:rsidRDefault="0069366E" w:rsidP="0069366E">
      <w:pPr>
        <w:spacing w:before="120" w:after="120"/>
        <w:rPr>
          <w:rFonts w:asciiTheme="majorHAnsi" w:hAnsiTheme="majorHAnsi" w:cs="Calibri Light"/>
        </w:rPr>
      </w:pPr>
      <w:r w:rsidRPr="00F56546">
        <w:rPr>
          <w:rFonts w:asciiTheme="majorHAnsi" w:hAnsiTheme="majorHAnsi" w:cs="Calibri Light"/>
        </w:rPr>
        <w:t>___________________________</w:t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  <w:t>______________________</w:t>
      </w:r>
    </w:p>
    <w:p w14:paraId="6B288851" w14:textId="7DC670F1" w:rsidR="006468E6" w:rsidRPr="00F56546" w:rsidRDefault="0069366E" w:rsidP="00F56546">
      <w:pPr>
        <w:spacing w:before="120" w:after="120"/>
        <w:rPr>
          <w:rFonts w:asciiTheme="majorHAnsi" w:hAnsiTheme="majorHAnsi" w:cs="Calibri Light"/>
        </w:rPr>
      </w:pPr>
      <w:r w:rsidRPr="00F56546">
        <w:rPr>
          <w:rFonts w:asciiTheme="majorHAnsi" w:hAnsiTheme="majorHAnsi" w:cs="Calibri Light"/>
        </w:rPr>
        <w:t>Signature</w:t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</w:r>
      <w:r w:rsidRPr="00F56546">
        <w:rPr>
          <w:rFonts w:asciiTheme="majorHAnsi" w:hAnsiTheme="majorHAnsi" w:cs="Calibri Light"/>
        </w:rPr>
        <w:tab/>
        <w:t>Date</w:t>
      </w:r>
    </w:p>
    <w:sectPr w:rsidR="006468E6" w:rsidRPr="00F56546" w:rsidSect="0069366E">
      <w:headerReference w:type="default" r:id="rId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D785" w14:textId="77777777" w:rsidR="00000000" w:rsidRDefault="00000000" w:rsidP="002A69D4">
    <w:pPr>
      <w:pStyle w:val="Header"/>
      <w:jc w:val="center"/>
      <w:rPr>
        <w:b/>
        <w:bCs/>
        <w:i/>
        <w:iCs/>
        <w:color w:val="003399"/>
        <w:sz w:val="44"/>
        <w:lang w:val="en-US"/>
      </w:rPr>
    </w:pPr>
    <w:r>
      <w:rPr>
        <w:noProof/>
      </w:rPr>
      <w:drawing>
        <wp:inline distT="0" distB="0" distL="0" distR="0" wp14:anchorId="6715FDBF" wp14:editId="51B4728F">
          <wp:extent cx="624298" cy="681990"/>
          <wp:effectExtent l="0" t="0" r="444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9" t="12446" r="2589" b="15044"/>
                  <a:stretch/>
                </pic:blipFill>
                <pic:spPr bwMode="auto">
                  <a:xfrm>
                    <a:off x="0" y="0"/>
                    <a:ext cx="644269" cy="703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662CB7A" w14:textId="77777777" w:rsidR="00000000" w:rsidRPr="0010134C" w:rsidRDefault="00000000" w:rsidP="002A69D4">
    <w:pPr>
      <w:pStyle w:val="Header"/>
      <w:jc w:val="center"/>
      <w:rPr>
        <w:rFonts w:ascii="Calibri Light" w:hAnsi="Calibri Light" w:cs="Calibri Light"/>
        <w:b/>
        <w:bCs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br/>
    </w:r>
    <w:r w:rsidRPr="0010134C">
      <w:rPr>
        <w:rFonts w:ascii="Calibri Light" w:hAnsi="Calibri Light" w:cs="Calibri Light"/>
        <w:b/>
        <w:bCs/>
        <w:sz w:val="18"/>
        <w:szCs w:val="18"/>
      </w:rPr>
      <w:t>The Glen Group</w:t>
    </w:r>
  </w:p>
  <w:p w14:paraId="5724F012" w14:textId="77777777" w:rsidR="00000000" w:rsidRPr="0010134C" w:rsidRDefault="00000000" w:rsidP="002A69D4">
    <w:pPr>
      <w:pStyle w:val="Header"/>
      <w:jc w:val="center"/>
      <w:rPr>
        <w:rFonts w:ascii="Calibri Light" w:hAnsi="Calibri Light" w:cs="Calibri Light"/>
        <w:sz w:val="18"/>
        <w:szCs w:val="18"/>
      </w:rPr>
    </w:pPr>
    <w:r w:rsidRPr="0010134C">
      <w:rPr>
        <w:rFonts w:ascii="Calibri Light" w:hAnsi="Calibri Light" w:cs="Calibri Light"/>
        <w:sz w:val="18"/>
        <w:szCs w:val="18"/>
      </w:rPr>
      <w:t xml:space="preserve">The Glen for Men: 50 </w:t>
    </w:r>
    <w:r w:rsidRPr="0010134C">
      <w:rPr>
        <w:rFonts w:ascii="Calibri Light" w:hAnsi="Calibri Light" w:cs="Calibri Light"/>
        <w:sz w:val="18"/>
        <w:szCs w:val="18"/>
      </w:rPr>
      <w:t>Church Rd, Chittaway Point NSW 2261</w:t>
    </w:r>
  </w:p>
  <w:p w14:paraId="3F1AB9D5" w14:textId="77777777" w:rsidR="00000000" w:rsidRPr="0010134C" w:rsidRDefault="00000000" w:rsidP="002A69D4">
    <w:pPr>
      <w:pStyle w:val="Header"/>
      <w:jc w:val="center"/>
      <w:rPr>
        <w:rFonts w:ascii="Calibri Light" w:hAnsi="Calibri Light" w:cs="Calibri Light"/>
        <w:sz w:val="18"/>
        <w:szCs w:val="18"/>
      </w:rPr>
    </w:pPr>
    <w:r w:rsidRPr="0010134C">
      <w:rPr>
        <w:rFonts w:ascii="Calibri Light" w:hAnsi="Calibri Light" w:cs="Calibri Light"/>
        <w:sz w:val="18"/>
        <w:szCs w:val="18"/>
      </w:rPr>
      <w:t>The Glen for Women: 253 Yarramalong Rd, Wyong Creek NSW 2259</w:t>
    </w:r>
  </w:p>
  <w:p w14:paraId="7F57EB4E" w14:textId="77777777" w:rsidR="00000000" w:rsidRPr="0010134C" w:rsidRDefault="00000000" w:rsidP="002A69D4">
    <w:pPr>
      <w:pStyle w:val="Header"/>
      <w:jc w:val="center"/>
      <w:rPr>
        <w:rFonts w:ascii="Calibri Light" w:hAnsi="Calibri Light" w:cs="Calibri Light"/>
        <w:b/>
        <w:bCs/>
        <w:i/>
        <w:iCs/>
        <w:color w:val="003399"/>
        <w:sz w:val="18"/>
        <w:szCs w:val="18"/>
        <w:lang w:val="en-US"/>
      </w:rPr>
    </w:pPr>
    <w:r w:rsidRPr="0010134C">
      <w:rPr>
        <w:rFonts w:ascii="Calibri Light" w:hAnsi="Calibri Light" w:cs="Calibri Light"/>
        <w:sz w:val="18"/>
        <w:szCs w:val="18"/>
      </w:rPr>
      <w:t>ABN 97 450 742 985</w:t>
    </w:r>
  </w:p>
  <w:p w14:paraId="6AEB01C0" w14:textId="77777777" w:rsidR="00000000" w:rsidRPr="0010134C" w:rsidRDefault="00000000" w:rsidP="002A69D4">
    <w:pPr>
      <w:pStyle w:val="Header"/>
      <w:jc w:val="center"/>
      <w:rPr>
        <w:rStyle w:val="Hyperlink"/>
        <w:rFonts w:ascii="Calibri Light" w:hAnsi="Calibri Light" w:cs="Calibri Light"/>
        <w:sz w:val="18"/>
        <w:szCs w:val="18"/>
      </w:rPr>
    </w:pPr>
    <w:hyperlink r:id="rId3" w:history="1">
      <w:r w:rsidRPr="0010134C">
        <w:rPr>
          <w:rStyle w:val="Hyperlink"/>
          <w:rFonts w:ascii="Calibri Light" w:hAnsi="Calibri Light" w:cs="Calibri Light"/>
          <w:sz w:val="18"/>
          <w:szCs w:val="18"/>
        </w:rPr>
        <w:t>www.theglencentre.org.au</w:t>
      </w:r>
    </w:hyperlink>
  </w:p>
  <w:p w14:paraId="54AF0AAD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D84"/>
    <w:multiLevelType w:val="hybridMultilevel"/>
    <w:tmpl w:val="68DAFC50"/>
    <w:lvl w:ilvl="0" w:tplc="914A5F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A36C8"/>
    <w:multiLevelType w:val="hybridMultilevel"/>
    <w:tmpl w:val="48600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6250"/>
    <w:multiLevelType w:val="hybridMultilevel"/>
    <w:tmpl w:val="EA205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C0ECE"/>
    <w:multiLevelType w:val="hybridMultilevel"/>
    <w:tmpl w:val="6D2006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C452B"/>
    <w:multiLevelType w:val="hybridMultilevel"/>
    <w:tmpl w:val="7D0CDB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805E1"/>
    <w:multiLevelType w:val="hybridMultilevel"/>
    <w:tmpl w:val="960CC92A"/>
    <w:lvl w:ilvl="0" w:tplc="0C090003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CE50476"/>
    <w:multiLevelType w:val="hybridMultilevel"/>
    <w:tmpl w:val="910CE2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4017E0"/>
    <w:multiLevelType w:val="hybridMultilevel"/>
    <w:tmpl w:val="6584E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411C0F"/>
    <w:multiLevelType w:val="hybridMultilevel"/>
    <w:tmpl w:val="715C30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D4A31"/>
    <w:multiLevelType w:val="hybridMultilevel"/>
    <w:tmpl w:val="DE32E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724D"/>
    <w:multiLevelType w:val="hybridMultilevel"/>
    <w:tmpl w:val="670A81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E179D8"/>
    <w:multiLevelType w:val="hybridMultilevel"/>
    <w:tmpl w:val="7AF0D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F6C24"/>
    <w:multiLevelType w:val="hybridMultilevel"/>
    <w:tmpl w:val="EB6669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280C20"/>
    <w:multiLevelType w:val="hybridMultilevel"/>
    <w:tmpl w:val="4470E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6796806">
    <w:abstractNumId w:val="0"/>
  </w:num>
  <w:num w:numId="2" w16cid:durableId="1659385189">
    <w:abstractNumId w:val="6"/>
  </w:num>
  <w:num w:numId="3" w16cid:durableId="2005156897">
    <w:abstractNumId w:val="7"/>
  </w:num>
  <w:num w:numId="4" w16cid:durableId="1962219938">
    <w:abstractNumId w:val="12"/>
  </w:num>
  <w:num w:numId="5" w16cid:durableId="445123599">
    <w:abstractNumId w:val="9"/>
  </w:num>
  <w:num w:numId="6" w16cid:durableId="1195070422">
    <w:abstractNumId w:val="2"/>
  </w:num>
  <w:num w:numId="7" w16cid:durableId="1938751624">
    <w:abstractNumId w:val="1"/>
  </w:num>
  <w:num w:numId="8" w16cid:durableId="394593236">
    <w:abstractNumId w:val="5"/>
  </w:num>
  <w:num w:numId="9" w16cid:durableId="1410156982">
    <w:abstractNumId w:val="10"/>
  </w:num>
  <w:num w:numId="10" w16cid:durableId="493961404">
    <w:abstractNumId w:val="3"/>
  </w:num>
  <w:num w:numId="11" w16cid:durableId="1538274237">
    <w:abstractNumId w:val="13"/>
  </w:num>
  <w:num w:numId="12" w16cid:durableId="634484681">
    <w:abstractNumId w:val="11"/>
  </w:num>
  <w:num w:numId="13" w16cid:durableId="697391704">
    <w:abstractNumId w:val="8"/>
  </w:num>
  <w:num w:numId="14" w16cid:durableId="1665013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6E"/>
    <w:rsid w:val="001D41A1"/>
    <w:rsid w:val="002825A8"/>
    <w:rsid w:val="006468E6"/>
    <w:rsid w:val="0069366E"/>
    <w:rsid w:val="00767942"/>
    <w:rsid w:val="00B80422"/>
    <w:rsid w:val="00F06054"/>
    <w:rsid w:val="00F5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D1B3"/>
  <w15:chartTrackingRefBased/>
  <w15:docId w15:val="{69A2DCE0-E452-4688-8B37-40A509DC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6E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6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6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6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6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6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6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6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66E"/>
    <w:rPr>
      <w:rFonts w:ascii="Calibri" w:hAnsi="Calibri" w:cs="Calibri"/>
      <w:kern w:val="0"/>
      <w:sz w:val="22"/>
      <w:szCs w:val="22"/>
      <w14:ligatures w14:val="none"/>
    </w:rPr>
  </w:style>
  <w:style w:type="character" w:styleId="Hyperlink">
    <w:name w:val="Hyperlink"/>
    <w:rsid w:val="00693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glencentre.org.au" TargetMode="External"/><Relationship Id="rId2" Type="http://schemas.openxmlformats.org/officeDocument/2006/relationships/image" Target="cid:54bd6705-78eb-4d95-a099-39cf72e8fd94@AUSP282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Lee</dc:creator>
  <cp:keywords/>
  <dc:description/>
  <cp:lastModifiedBy>Alex Lee</cp:lastModifiedBy>
  <cp:revision>2</cp:revision>
  <dcterms:created xsi:type="dcterms:W3CDTF">2025-06-02T21:21:00Z</dcterms:created>
  <dcterms:modified xsi:type="dcterms:W3CDTF">2025-06-02T21:58:00Z</dcterms:modified>
</cp:coreProperties>
</file>