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F8ECB" w14:textId="77777777" w:rsidR="0074696E" w:rsidRPr="004C6EEE" w:rsidRDefault="008C3697" w:rsidP="00EC40D5">
      <w:pPr>
        <w:pStyle w:val="Sectionbreakfirstpage"/>
      </w:pPr>
      <w:r>
        <w:drawing>
          <wp:anchor distT="0" distB="0" distL="114300" distR="114300" simplePos="0" relativeHeight="251658240" behindDoc="1" locked="1" layoutInCell="1" allowOverlap="1" wp14:anchorId="49417FAA" wp14:editId="70CB79BE">
            <wp:simplePos x="0" y="0"/>
            <wp:positionH relativeFrom="page">
              <wp:align>left</wp:align>
            </wp:positionH>
            <wp:positionV relativeFrom="page">
              <wp:align>top</wp:align>
            </wp:positionV>
            <wp:extent cx="7557770" cy="1727835"/>
            <wp:effectExtent l="0" t="0" r="5080" b="571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8092" cy="1728000"/>
                    </a:xfrm>
                    <a:prstGeom prst="rect">
                      <a:avLst/>
                    </a:prstGeom>
                  </pic:spPr>
                </pic:pic>
              </a:graphicData>
            </a:graphic>
            <wp14:sizeRelH relativeFrom="page">
              <wp14:pctWidth>0</wp14:pctWidth>
            </wp14:sizeRelH>
            <wp14:sizeRelV relativeFrom="page">
              <wp14:pctHeight>0</wp14:pctHeight>
            </wp14:sizeRelV>
          </wp:anchor>
        </w:drawing>
      </w:r>
    </w:p>
    <w:p w14:paraId="48D5CFE5"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78DD2CB3" w14:textId="77777777" w:rsidTr="003B5733">
        <w:tc>
          <w:tcPr>
            <w:tcW w:w="0" w:type="auto"/>
            <w:tcMar>
              <w:top w:w="1701" w:type="dxa"/>
              <w:left w:w="0" w:type="dxa"/>
              <w:right w:w="0" w:type="dxa"/>
            </w:tcMar>
          </w:tcPr>
          <w:p w14:paraId="4D956F57" w14:textId="77777777" w:rsidR="003B5733" w:rsidRPr="003B5733" w:rsidRDefault="00C4426F" w:rsidP="003B5733">
            <w:pPr>
              <w:pStyle w:val="Documenttitle"/>
            </w:pPr>
            <w:r>
              <w:t>Position description</w:t>
            </w:r>
          </w:p>
        </w:tc>
      </w:tr>
      <w:tr w:rsidR="003B5733" w14:paraId="6602B098" w14:textId="77777777" w:rsidTr="005F44C0">
        <w:tc>
          <w:tcPr>
            <w:tcW w:w="0" w:type="auto"/>
          </w:tcPr>
          <w:p w14:paraId="5808D5E6" w14:textId="1089F561" w:rsidR="003B5733" w:rsidRPr="00A1389F" w:rsidRDefault="00754F25" w:rsidP="005F44C0">
            <w:pPr>
              <w:pStyle w:val="Documentsubtitle"/>
            </w:pPr>
            <w:r w:rsidRPr="00754F25">
              <w:t>Chair, Human Research Ethics Committee</w:t>
            </w:r>
          </w:p>
        </w:tc>
      </w:tr>
      <w:tr w:rsidR="003B5733" w14:paraId="276841CD" w14:textId="77777777" w:rsidTr="005F44C0">
        <w:tc>
          <w:tcPr>
            <w:tcW w:w="0" w:type="auto"/>
          </w:tcPr>
          <w:p w14:paraId="103DA178" w14:textId="02315872" w:rsidR="006100B6" w:rsidRDefault="00D85AE5" w:rsidP="005F44C0">
            <w:pPr>
              <w:pStyle w:val="Bannermarking"/>
            </w:pPr>
            <w:r>
              <w:fldChar w:fldCharType="begin"/>
            </w:r>
            <w:r>
              <w:instrText xml:space="preserve"> FILLIN  "Type the protective marking" \d OFFICIAL \o  \* MERGEFORMAT </w:instrText>
            </w:r>
            <w:r>
              <w:fldChar w:fldCharType="separate"/>
            </w:r>
            <w:r w:rsidR="00C4426F">
              <w:t>OFFICIAL</w:t>
            </w:r>
            <w:r>
              <w:fldChar w:fldCharType="end"/>
            </w:r>
          </w:p>
        </w:tc>
      </w:tr>
    </w:tbl>
    <w:p w14:paraId="307B77EB" w14:textId="77777777" w:rsidR="00C4426F" w:rsidRPr="00B519CD" w:rsidRDefault="00C4426F" w:rsidP="00C4426F">
      <w:pPr>
        <w:pStyle w:val="Body"/>
        <w:sectPr w:rsidR="00C4426F" w:rsidRPr="00B519CD" w:rsidSect="00B04489">
          <w:headerReference w:type="default" r:id="rId18"/>
          <w:type w:val="continuous"/>
          <w:pgSz w:w="11906" w:h="16838" w:code="9"/>
          <w:pgMar w:top="1418" w:right="851" w:bottom="1418" w:left="851" w:header="851" w:footer="851" w:gutter="0"/>
          <w:cols w:space="340"/>
          <w:titlePg/>
          <w:docGrid w:linePitch="360"/>
        </w:sectPr>
      </w:pPr>
      <w:bookmarkStart w:id="0" w:name="_Hlk37240926"/>
    </w:p>
    <w:tbl>
      <w:tblPr>
        <w:tblStyle w:val="TableGrid"/>
        <w:tblW w:w="10490" w:type="dxa"/>
        <w:tblLook w:val="04A0" w:firstRow="1" w:lastRow="0" w:firstColumn="1" w:lastColumn="0" w:noHBand="0" w:noVBand="1"/>
      </w:tblPr>
      <w:tblGrid>
        <w:gridCol w:w="2835"/>
        <w:gridCol w:w="7655"/>
      </w:tblGrid>
      <w:tr w:rsidR="00C4426F" w:rsidRPr="00C36EBA" w14:paraId="250C3E27" w14:textId="77777777" w:rsidTr="003B0B89">
        <w:tc>
          <w:tcPr>
            <w:tcW w:w="2835" w:type="dxa"/>
          </w:tcPr>
          <w:p w14:paraId="7A77AEC6" w14:textId="38CE33AE" w:rsidR="00C4426F" w:rsidRPr="00C36EBA" w:rsidRDefault="00C4426F" w:rsidP="003B0B89">
            <w:pPr>
              <w:pStyle w:val="Tablecolhead"/>
              <w:rPr>
                <w:szCs w:val="21"/>
              </w:rPr>
            </w:pPr>
            <w:r w:rsidRPr="00C36EBA">
              <w:rPr>
                <w:szCs w:val="21"/>
              </w:rPr>
              <w:t>Branch/Division</w:t>
            </w:r>
          </w:p>
        </w:tc>
        <w:tc>
          <w:tcPr>
            <w:tcW w:w="7655" w:type="dxa"/>
          </w:tcPr>
          <w:p w14:paraId="5C78E594" w14:textId="6057DD9F" w:rsidR="00C4426F" w:rsidRPr="00C36EBA" w:rsidRDefault="00A5083B" w:rsidP="003B0B89">
            <w:pPr>
              <w:pStyle w:val="Tabletext"/>
              <w:rPr>
                <w:szCs w:val="21"/>
              </w:rPr>
            </w:pPr>
            <w:r w:rsidRPr="00C36EBA">
              <w:rPr>
                <w:szCs w:val="21"/>
              </w:rPr>
              <w:t>Analytics and Evidence Branch, Reform and Planning Division</w:t>
            </w:r>
          </w:p>
        </w:tc>
      </w:tr>
      <w:tr w:rsidR="00C4426F" w:rsidRPr="00C36EBA" w14:paraId="7B739DA1" w14:textId="77777777" w:rsidTr="003B0B89">
        <w:tc>
          <w:tcPr>
            <w:tcW w:w="2835" w:type="dxa"/>
          </w:tcPr>
          <w:p w14:paraId="61B91A69" w14:textId="59A17420" w:rsidR="00C4426F" w:rsidRPr="00C36EBA" w:rsidRDefault="00C4426F" w:rsidP="003B0B89">
            <w:pPr>
              <w:pStyle w:val="Tablecolhead"/>
              <w:rPr>
                <w:szCs w:val="21"/>
              </w:rPr>
            </w:pPr>
            <w:r w:rsidRPr="00C36EBA">
              <w:rPr>
                <w:szCs w:val="21"/>
              </w:rPr>
              <w:t>Work location</w:t>
            </w:r>
          </w:p>
        </w:tc>
        <w:tc>
          <w:tcPr>
            <w:tcW w:w="7655" w:type="dxa"/>
          </w:tcPr>
          <w:p w14:paraId="533890BB" w14:textId="77777777" w:rsidR="00062CA1" w:rsidRPr="00C36EBA" w:rsidRDefault="00062CA1" w:rsidP="00062CA1">
            <w:pPr>
              <w:pStyle w:val="DHHSbody"/>
              <w:spacing w:line="276" w:lineRule="auto"/>
              <w:rPr>
                <w:sz w:val="21"/>
                <w:szCs w:val="21"/>
              </w:rPr>
            </w:pPr>
            <w:r w:rsidRPr="00C36EBA">
              <w:rPr>
                <w:sz w:val="21"/>
                <w:szCs w:val="21"/>
              </w:rPr>
              <w:t>Department of Health</w:t>
            </w:r>
          </w:p>
          <w:p w14:paraId="1537097C" w14:textId="3C15335F" w:rsidR="00C4426F" w:rsidRPr="00C36EBA" w:rsidRDefault="00062CA1" w:rsidP="00062CA1">
            <w:pPr>
              <w:pStyle w:val="Tabletext"/>
              <w:rPr>
                <w:szCs w:val="21"/>
              </w:rPr>
            </w:pPr>
            <w:r w:rsidRPr="00C36EBA">
              <w:rPr>
                <w:szCs w:val="21"/>
              </w:rPr>
              <w:t>50 Lonsdale Street Melbourne or remotely via TEAMS</w:t>
            </w:r>
          </w:p>
        </w:tc>
      </w:tr>
      <w:tr w:rsidR="00C4426F" w:rsidRPr="00C36EBA" w14:paraId="388BEAAF" w14:textId="77777777" w:rsidTr="003B0B89">
        <w:tc>
          <w:tcPr>
            <w:tcW w:w="2835" w:type="dxa"/>
          </w:tcPr>
          <w:p w14:paraId="1D73238D" w14:textId="1ABD01D3" w:rsidR="00C4426F" w:rsidRPr="00C36EBA" w:rsidRDefault="00B75D5B" w:rsidP="003B0B89">
            <w:pPr>
              <w:pStyle w:val="Tablecolhead"/>
              <w:rPr>
                <w:szCs w:val="21"/>
              </w:rPr>
            </w:pPr>
            <w:r>
              <w:rPr>
                <w:szCs w:val="21"/>
              </w:rPr>
              <w:t>Salary range</w:t>
            </w:r>
          </w:p>
        </w:tc>
        <w:tc>
          <w:tcPr>
            <w:tcW w:w="7655" w:type="dxa"/>
          </w:tcPr>
          <w:p w14:paraId="652787A6" w14:textId="78D52CCB" w:rsidR="00C4426F" w:rsidRPr="00C36EBA" w:rsidRDefault="0040396C" w:rsidP="003B0B89">
            <w:pPr>
              <w:pStyle w:val="Tabletext"/>
              <w:rPr>
                <w:szCs w:val="21"/>
              </w:rPr>
            </w:pPr>
            <w:r w:rsidRPr="0040396C">
              <w:rPr>
                <w:szCs w:val="21"/>
              </w:rPr>
              <w:t xml:space="preserve">$464.00 per sitting  </w:t>
            </w:r>
          </w:p>
        </w:tc>
      </w:tr>
      <w:tr w:rsidR="00C4426F" w:rsidRPr="00C36EBA" w14:paraId="50C4F2E8" w14:textId="77777777" w:rsidTr="003B0B89">
        <w:tc>
          <w:tcPr>
            <w:tcW w:w="2835" w:type="dxa"/>
          </w:tcPr>
          <w:p w14:paraId="6AB70D52" w14:textId="2D3FADF9" w:rsidR="00C4426F" w:rsidRPr="00C36EBA" w:rsidRDefault="00C4426F" w:rsidP="003B0B89">
            <w:pPr>
              <w:pStyle w:val="Tablecolhead"/>
              <w:rPr>
                <w:szCs w:val="21"/>
              </w:rPr>
            </w:pPr>
            <w:r w:rsidRPr="00C36EBA">
              <w:rPr>
                <w:szCs w:val="21"/>
              </w:rPr>
              <w:t>Employment status</w:t>
            </w:r>
          </w:p>
        </w:tc>
        <w:tc>
          <w:tcPr>
            <w:tcW w:w="7655" w:type="dxa"/>
          </w:tcPr>
          <w:p w14:paraId="0B86E326" w14:textId="4308FC42" w:rsidR="00C4426F" w:rsidRPr="00C36EBA" w:rsidRDefault="00881753" w:rsidP="003B0B89">
            <w:pPr>
              <w:pStyle w:val="Tabletext"/>
              <w:rPr>
                <w:szCs w:val="21"/>
              </w:rPr>
            </w:pPr>
            <w:r w:rsidRPr="00C36EBA">
              <w:rPr>
                <w:szCs w:val="21"/>
              </w:rPr>
              <w:t>External Sessional Member</w:t>
            </w:r>
          </w:p>
        </w:tc>
      </w:tr>
      <w:tr w:rsidR="00C4426F" w:rsidRPr="00C36EBA" w14:paraId="097C663F" w14:textId="77777777" w:rsidTr="003B0B89">
        <w:tc>
          <w:tcPr>
            <w:tcW w:w="2835" w:type="dxa"/>
          </w:tcPr>
          <w:p w14:paraId="2EA7A0C6" w14:textId="77777777" w:rsidR="00C4426F" w:rsidRPr="00C36EBA" w:rsidRDefault="00C4426F" w:rsidP="003B0B89">
            <w:pPr>
              <w:pStyle w:val="Tablecolhead"/>
              <w:rPr>
                <w:szCs w:val="21"/>
              </w:rPr>
            </w:pPr>
            <w:r w:rsidRPr="00C36EBA">
              <w:rPr>
                <w:szCs w:val="21"/>
              </w:rPr>
              <w:t>Position reports to</w:t>
            </w:r>
          </w:p>
        </w:tc>
        <w:tc>
          <w:tcPr>
            <w:tcW w:w="7655" w:type="dxa"/>
          </w:tcPr>
          <w:p w14:paraId="6FCF9462" w14:textId="49AC17CC" w:rsidR="00C4426F" w:rsidRPr="00C36EBA" w:rsidRDefault="00695DD4" w:rsidP="003B0B89">
            <w:pPr>
              <w:pStyle w:val="Tabletext"/>
              <w:rPr>
                <w:szCs w:val="21"/>
              </w:rPr>
            </w:pPr>
            <w:r w:rsidRPr="00C36EBA">
              <w:rPr>
                <w:szCs w:val="21"/>
              </w:rPr>
              <w:t>Minister for Health</w:t>
            </w:r>
          </w:p>
        </w:tc>
      </w:tr>
      <w:tr w:rsidR="00C4426F" w:rsidRPr="00C36EBA" w14:paraId="62768DB4" w14:textId="77777777" w:rsidTr="003B0B89">
        <w:tc>
          <w:tcPr>
            <w:tcW w:w="2835" w:type="dxa"/>
          </w:tcPr>
          <w:p w14:paraId="046B2F12" w14:textId="7F01F80E" w:rsidR="00C4426F" w:rsidRPr="00C36EBA" w:rsidRDefault="00C4426F" w:rsidP="003B0B89">
            <w:pPr>
              <w:pStyle w:val="Tablecolhead"/>
              <w:rPr>
                <w:szCs w:val="21"/>
              </w:rPr>
            </w:pPr>
            <w:r w:rsidRPr="00C36EBA">
              <w:rPr>
                <w:szCs w:val="21"/>
              </w:rPr>
              <w:t>Position contact</w:t>
            </w:r>
          </w:p>
        </w:tc>
        <w:tc>
          <w:tcPr>
            <w:tcW w:w="7655" w:type="dxa"/>
          </w:tcPr>
          <w:p w14:paraId="0CD043D6" w14:textId="77777777" w:rsidR="00C42B9B" w:rsidRPr="00C36EBA" w:rsidRDefault="00C42B9B" w:rsidP="00C42B9B">
            <w:pPr>
              <w:pStyle w:val="DHHSbody"/>
              <w:spacing w:line="276" w:lineRule="auto"/>
              <w:jc w:val="both"/>
              <w:rPr>
                <w:sz w:val="21"/>
                <w:szCs w:val="21"/>
              </w:rPr>
            </w:pPr>
            <w:r w:rsidRPr="00C36EBA">
              <w:rPr>
                <w:sz w:val="21"/>
                <w:szCs w:val="21"/>
              </w:rPr>
              <w:t xml:space="preserve">Bridget Radford, </w:t>
            </w:r>
            <w:bookmarkStart w:id="1" w:name="_Hlk71900430"/>
            <w:r w:rsidRPr="00C36EBA">
              <w:rPr>
                <w:sz w:val="21"/>
                <w:szCs w:val="21"/>
              </w:rPr>
              <w:t>Secretary, Human Research Ethics Committee</w:t>
            </w:r>
            <w:bookmarkEnd w:id="1"/>
          </w:p>
          <w:bookmarkStart w:id="2" w:name="_Hlk71900448"/>
          <w:p w14:paraId="1EF97126" w14:textId="2CC727AF" w:rsidR="00C4426F" w:rsidRPr="00C36EBA" w:rsidRDefault="00C42B9B" w:rsidP="00C42B9B">
            <w:pPr>
              <w:pStyle w:val="Tabletext"/>
              <w:rPr>
                <w:szCs w:val="21"/>
              </w:rPr>
            </w:pPr>
            <w:r w:rsidRPr="00C36EBA">
              <w:rPr>
                <w:szCs w:val="21"/>
              </w:rPr>
              <w:fldChar w:fldCharType="begin"/>
            </w:r>
            <w:r w:rsidRPr="00C36EBA">
              <w:rPr>
                <w:szCs w:val="21"/>
              </w:rPr>
              <w:instrText xml:space="preserve"> HYPERLINK "mailto:research.ethics@health.vic.gov.au" </w:instrText>
            </w:r>
            <w:r w:rsidRPr="00C36EBA">
              <w:rPr>
                <w:szCs w:val="21"/>
              </w:rPr>
              <w:fldChar w:fldCharType="separate"/>
            </w:r>
            <w:r w:rsidRPr="00C36EBA">
              <w:rPr>
                <w:rStyle w:val="Hyperlink"/>
                <w:rFonts w:eastAsia="MS Gothic"/>
                <w:szCs w:val="21"/>
              </w:rPr>
              <w:t>research.ethics@health.vic.gov.au</w:t>
            </w:r>
            <w:bookmarkEnd w:id="2"/>
            <w:r w:rsidRPr="00C36EBA">
              <w:rPr>
                <w:szCs w:val="21"/>
              </w:rPr>
              <w:fldChar w:fldCharType="end"/>
            </w:r>
          </w:p>
        </w:tc>
      </w:tr>
      <w:tr w:rsidR="00C4426F" w:rsidRPr="00C36EBA" w14:paraId="1438614C" w14:textId="77777777" w:rsidTr="003B0B89">
        <w:tc>
          <w:tcPr>
            <w:tcW w:w="2835" w:type="dxa"/>
          </w:tcPr>
          <w:p w14:paraId="7927167E" w14:textId="09961FAF" w:rsidR="00C4426F" w:rsidRPr="00C36EBA" w:rsidRDefault="00C4426F" w:rsidP="003B0B89">
            <w:pPr>
              <w:pStyle w:val="Tablecolhead"/>
              <w:rPr>
                <w:szCs w:val="21"/>
              </w:rPr>
            </w:pPr>
            <w:r w:rsidRPr="00C36EBA">
              <w:rPr>
                <w:szCs w:val="21"/>
              </w:rPr>
              <w:t>Closing date</w:t>
            </w:r>
          </w:p>
        </w:tc>
        <w:tc>
          <w:tcPr>
            <w:tcW w:w="7655" w:type="dxa"/>
          </w:tcPr>
          <w:p w14:paraId="6B96D363" w14:textId="7237454F" w:rsidR="00C4426F" w:rsidRPr="00C36EBA" w:rsidRDefault="00D85AE5" w:rsidP="003B0B89">
            <w:pPr>
              <w:pStyle w:val="Tabletext"/>
              <w:rPr>
                <w:szCs w:val="21"/>
              </w:rPr>
            </w:pPr>
            <w:r>
              <w:rPr>
                <w:szCs w:val="21"/>
              </w:rPr>
              <w:t>25</w:t>
            </w:r>
            <w:r w:rsidR="006C797E">
              <w:rPr>
                <w:szCs w:val="21"/>
              </w:rPr>
              <w:t>/08/23</w:t>
            </w:r>
          </w:p>
        </w:tc>
      </w:tr>
    </w:tbl>
    <w:p w14:paraId="51F95C7A" w14:textId="77777777" w:rsidR="00C4426F" w:rsidRDefault="00C4426F" w:rsidP="00C4426F">
      <w:pPr>
        <w:pStyle w:val="Heading1"/>
      </w:pPr>
      <w:r>
        <w:t>Role purpose</w:t>
      </w:r>
    </w:p>
    <w:p w14:paraId="69E4C7E1" w14:textId="4E637449" w:rsidR="00A14372" w:rsidRPr="00A14372" w:rsidRDefault="00A14372" w:rsidP="00610474">
      <w:pPr>
        <w:pStyle w:val="Body"/>
      </w:pPr>
      <w:r w:rsidRPr="00272C0B">
        <w:t xml:space="preserve">The Department of Health’s Human Research Ethics Committee (the Committee) reviews research proposals against the ethical principles of the National Health and Medical Research Council’s </w:t>
      </w:r>
      <w:r w:rsidRPr="00272C0B">
        <w:rPr>
          <w:i/>
          <w:iCs/>
        </w:rPr>
        <w:t>National Statement on Ethical Conduct in Human Research</w:t>
      </w:r>
      <w:r w:rsidRPr="00272C0B">
        <w:t xml:space="preserve"> (National Statement). These reviews ensure that the interests of research participants are protected, and that research is conducted to appropriate ethical standards. The Chair exercises a leadership role to ensure that the Committee operates effectively and meets the requirements for the department’s research agenda.</w:t>
      </w:r>
      <w:r w:rsidR="0044085E">
        <w:t xml:space="preserve"> The role of the Chair is to: </w:t>
      </w:r>
    </w:p>
    <w:p w14:paraId="342A19DF" w14:textId="05CFF823" w:rsidR="00A14372" w:rsidRPr="00A14372" w:rsidRDefault="00A14372" w:rsidP="0082717B">
      <w:pPr>
        <w:pStyle w:val="Bullet1"/>
      </w:pPr>
      <w:r w:rsidRPr="00A14372">
        <w:t>Exercise effective leadership by managing meetings openly and inclusively so that research proposals are dealt with in a timely and appropriate manner</w:t>
      </w:r>
    </w:p>
    <w:p w14:paraId="4E2F5D72" w14:textId="166EFE6E" w:rsidR="00A14372" w:rsidRPr="00A14372" w:rsidRDefault="00A14372" w:rsidP="0082717B">
      <w:pPr>
        <w:pStyle w:val="Bullet1"/>
      </w:pPr>
      <w:r w:rsidRPr="00A14372">
        <w:t>Prepare for, and preside over, eight Committee meetings per annum and contribute actively to the planning and content for an annual professional development day</w:t>
      </w:r>
    </w:p>
    <w:p w14:paraId="2ECE142E" w14:textId="77777777" w:rsidR="00B0403B" w:rsidRDefault="00A14372" w:rsidP="00610474">
      <w:pPr>
        <w:pStyle w:val="Bullet1"/>
      </w:pPr>
      <w:r w:rsidRPr="00A14372">
        <w:t>Work with the Committee Secretariat out-of-session to progress matters arising from meetings and initiate necessary actions</w:t>
      </w:r>
    </w:p>
    <w:p w14:paraId="2731E5CB" w14:textId="6292A4ED" w:rsidR="00A14372" w:rsidRPr="00A14372" w:rsidRDefault="00A14372" w:rsidP="00610474">
      <w:pPr>
        <w:pStyle w:val="Bullet1"/>
      </w:pPr>
      <w:r w:rsidRPr="00A14372">
        <w:t>As required, address policy issues relevant to research matter</w:t>
      </w:r>
      <w:r w:rsidR="0082717B">
        <w:t>s</w:t>
      </w:r>
    </w:p>
    <w:p w14:paraId="40495697" w14:textId="1074DFD6" w:rsidR="00A14372" w:rsidRPr="00A14372" w:rsidRDefault="00A14372" w:rsidP="0082717B">
      <w:pPr>
        <w:pStyle w:val="Bullet1"/>
      </w:pPr>
      <w:r w:rsidRPr="00A14372">
        <w:t>Ensure the Committee meets its reporting obligations under relevant legislation</w:t>
      </w:r>
    </w:p>
    <w:p w14:paraId="588BC163" w14:textId="6EBBCFDC" w:rsidR="00A14372" w:rsidRPr="00A14372" w:rsidRDefault="00A14372" w:rsidP="0082717B">
      <w:pPr>
        <w:pStyle w:val="Bullet1"/>
      </w:pPr>
      <w:r w:rsidRPr="00A14372">
        <w:t xml:space="preserve">Have authoritative knowledge of the </w:t>
      </w:r>
      <w:r w:rsidRPr="00A14372">
        <w:rPr>
          <w:i/>
          <w:iCs/>
        </w:rPr>
        <w:t>National Statement</w:t>
      </w:r>
      <w:r w:rsidRPr="00A14372">
        <w:t xml:space="preserve"> and provide common-sense application of it to the review of research proposals</w:t>
      </w:r>
    </w:p>
    <w:p w14:paraId="0486C757" w14:textId="6F0C194E" w:rsidR="00A14372" w:rsidRPr="00A14372" w:rsidRDefault="00A14372" w:rsidP="0082717B">
      <w:pPr>
        <w:pStyle w:val="Bullet1"/>
      </w:pPr>
      <w:r w:rsidRPr="00A14372">
        <w:t>Identify the relevant risks and benefits of research proposals and assess how well risks are addressed in any proposed mitigation measures</w:t>
      </w:r>
    </w:p>
    <w:p w14:paraId="2F1BF01A" w14:textId="2AF0A35B" w:rsidR="006100B6" w:rsidRPr="00A14372" w:rsidRDefault="00A14372" w:rsidP="0082717B">
      <w:pPr>
        <w:pStyle w:val="Bullet1"/>
      </w:pPr>
      <w:r w:rsidRPr="00A14372">
        <w:t>Declare any potential conflicts of interest, financial or otherwise, in respect of research proposals put before the Committee.</w:t>
      </w:r>
    </w:p>
    <w:p w14:paraId="2EE423E7" w14:textId="62B7FC75" w:rsidR="00C4426F" w:rsidRDefault="00C4426F" w:rsidP="009742DF">
      <w:pPr>
        <w:pStyle w:val="Heading2"/>
        <w:jc w:val="both"/>
      </w:pPr>
      <w:r>
        <w:lastRenderedPageBreak/>
        <w:t>Department of Health</w:t>
      </w:r>
    </w:p>
    <w:p w14:paraId="578F767A" w14:textId="77777777" w:rsidR="00C4426F" w:rsidRPr="00610474" w:rsidRDefault="00C4426F" w:rsidP="00610474">
      <w:pPr>
        <w:pStyle w:val="Body"/>
      </w:pPr>
      <w:r w:rsidRPr="00610474">
        <w:t>The Department of Health (DH) has been established to advance the government's policy priorities in improving patient outcomes and experience for all Victorians.</w:t>
      </w:r>
    </w:p>
    <w:p w14:paraId="35C11657" w14:textId="77777777" w:rsidR="00C4426F" w:rsidRPr="00610474" w:rsidRDefault="00C4426F" w:rsidP="00610474">
      <w:pPr>
        <w:pStyle w:val="Body"/>
      </w:pPr>
      <w:r w:rsidRPr="00610474">
        <w:t xml:space="preserve">DH is responsible for the Health and Ambulance Services, Mental </w:t>
      </w:r>
      <w:proofErr w:type="gramStart"/>
      <w:r w:rsidRPr="00610474">
        <w:t>Health</w:t>
      </w:r>
      <w:proofErr w:type="gramEnd"/>
      <w:r w:rsidRPr="00610474">
        <w:t xml:space="preserve"> and Ageing portfolios. We also lead the government’s public health response and recovery of the COVID-19 pandemic.</w:t>
      </w:r>
    </w:p>
    <w:p w14:paraId="4B82D049" w14:textId="77777777" w:rsidR="00C4426F" w:rsidRPr="00610474" w:rsidRDefault="00C4426F" w:rsidP="00610474">
      <w:pPr>
        <w:pStyle w:val="Body"/>
      </w:pPr>
      <w:r w:rsidRPr="00610474">
        <w:t>DH will remain at the very heart of Victoria's recovery effort – looking after families and taking care of Victorians’ loved ones.</w:t>
      </w:r>
    </w:p>
    <w:p w14:paraId="747D61B3" w14:textId="2EE8BA59" w:rsidR="00C4426F" w:rsidRPr="00610474" w:rsidRDefault="00C4426F" w:rsidP="00610474">
      <w:pPr>
        <w:pStyle w:val="Body"/>
      </w:pPr>
      <w:r w:rsidRPr="00610474">
        <w:t xml:space="preserve">A priority for DH will be to deliver ever-better quality healthcare through continuous improvement. We will have Victorians and clinicians at the </w:t>
      </w:r>
      <w:r w:rsidR="00B0403B" w:rsidRPr="00610474">
        <w:t>centre</w:t>
      </w:r>
      <w:r w:rsidRPr="00610474">
        <w:t xml:space="preserve"> of our reforms, continued leadership from our health service executives, and deeper engagement with our academic partners.</w:t>
      </w:r>
    </w:p>
    <w:p w14:paraId="091A006C" w14:textId="0602C7FC" w:rsidR="00C4426F" w:rsidRPr="00610474" w:rsidRDefault="00C4426F" w:rsidP="00610474">
      <w:pPr>
        <w:pStyle w:val="Body"/>
      </w:pPr>
      <w:r w:rsidRPr="00610474">
        <w:t xml:space="preserve">Our ultimate vision is to achieve the best health and wellbeing for all Victorians. We will do this through the creation of a department committed to leading an integrated and continually improving healthcare system for health, mental </w:t>
      </w:r>
      <w:r w:rsidR="00B4648C" w:rsidRPr="00610474">
        <w:t>health,</w:t>
      </w:r>
      <w:r w:rsidRPr="00610474">
        <w:t xml:space="preserve"> and aged care. ​</w:t>
      </w:r>
    </w:p>
    <w:p w14:paraId="61D507FC" w14:textId="7FF3909C" w:rsidR="00C4426F" w:rsidRDefault="00222ABE" w:rsidP="00C4426F">
      <w:pPr>
        <w:pStyle w:val="Heading2"/>
      </w:pPr>
      <w:r w:rsidRPr="00222ABE">
        <w:t>Reform and Planning</w:t>
      </w:r>
    </w:p>
    <w:p w14:paraId="537282FE" w14:textId="77777777" w:rsidR="00F06F01" w:rsidRPr="00F06F01" w:rsidRDefault="00F06F01" w:rsidP="00B0403B">
      <w:pPr>
        <w:pStyle w:val="Body"/>
      </w:pPr>
      <w:r w:rsidRPr="00F06F01">
        <w:t xml:space="preserve">The Reform and Planning Division generates new ideas, reviews existing </w:t>
      </w:r>
      <w:proofErr w:type="gramStart"/>
      <w:r w:rsidRPr="00F06F01">
        <w:t>directions</w:t>
      </w:r>
      <w:proofErr w:type="gramEnd"/>
      <w:r w:rsidRPr="00F06F01">
        <w:t xml:space="preserve"> and advises on long-term strategic policies to meet departmental objectives and government policy priorities. Through supporting departmental strategic planning processes, the division supports better decision-making on activities to advance government priorities and make progress towards departmental outcomes. </w:t>
      </w:r>
    </w:p>
    <w:p w14:paraId="6B181F51" w14:textId="77777777" w:rsidR="00F06F01" w:rsidRDefault="00F06F01" w:rsidP="00B0403B">
      <w:pPr>
        <w:pStyle w:val="Body"/>
        <w:rPr>
          <w:sz w:val="22"/>
          <w:szCs w:val="22"/>
        </w:rPr>
      </w:pPr>
      <w:r w:rsidRPr="00F06F01">
        <w:t>The division also supports key enablers for long-term reform, including workforce planning and development, information development and reporting, innovative investment approaches and building the department’s capabilities in evaluation and research. The division also leads work for our ministers on intergovernmental relations</w:t>
      </w:r>
      <w:r w:rsidRPr="00F64DAB">
        <w:rPr>
          <w:sz w:val="22"/>
          <w:szCs w:val="22"/>
        </w:rPr>
        <w:t>.</w:t>
      </w:r>
    </w:p>
    <w:p w14:paraId="0A5B0ED5" w14:textId="2B3C2BB1" w:rsidR="00C14627" w:rsidRDefault="00C14627" w:rsidP="00F06F01">
      <w:pPr>
        <w:pStyle w:val="DHHSbody"/>
        <w:spacing w:line="276" w:lineRule="auto"/>
        <w:jc w:val="both"/>
        <w:rPr>
          <w:b/>
          <w:color w:val="53565A"/>
          <w:sz w:val="32"/>
          <w:szCs w:val="28"/>
        </w:rPr>
      </w:pPr>
      <w:r w:rsidRPr="0011695F">
        <w:rPr>
          <w:b/>
          <w:color w:val="53565A"/>
          <w:sz w:val="32"/>
          <w:szCs w:val="28"/>
        </w:rPr>
        <w:t xml:space="preserve">Analytics, Evaluation and Research Branch  </w:t>
      </w:r>
    </w:p>
    <w:p w14:paraId="1C6B6428" w14:textId="4A9576D2" w:rsidR="00AD1027" w:rsidRPr="00AD1027" w:rsidRDefault="00AD1027" w:rsidP="00B0403B">
      <w:pPr>
        <w:pStyle w:val="Body"/>
      </w:pPr>
      <w:r w:rsidRPr="00AD1027">
        <w:t xml:space="preserve">The </w:t>
      </w:r>
      <w:r>
        <w:t>Analytics, Evaluation and</w:t>
      </w:r>
      <w:r w:rsidRPr="00AD1027">
        <w:t xml:space="preserve"> </w:t>
      </w:r>
      <w:r>
        <w:t>Research</w:t>
      </w:r>
      <w:r w:rsidRPr="00AD1027">
        <w:t xml:space="preserve"> Branch provides essential research, analytics, and data support to the division’s policy development activities, and to the </w:t>
      </w:r>
      <w:r w:rsidR="00553B61">
        <w:t>D</w:t>
      </w:r>
      <w:r w:rsidRPr="00AD1027">
        <w:t>epartment. This includes assessing the level of service need and its variability across the state</w:t>
      </w:r>
      <w:r w:rsidR="00CD52E7">
        <w:t>,</w:t>
      </w:r>
      <w:r w:rsidRPr="00AD1027">
        <w:t xml:space="preserve"> benchmarking performance of the hospital and health service system</w:t>
      </w:r>
      <w:r w:rsidR="00CD52E7">
        <w:t>,</w:t>
      </w:r>
      <w:r w:rsidRPr="00AD1027">
        <w:t xml:space="preserve"> system modelling, geospatial </w:t>
      </w:r>
      <w:r w:rsidR="002B667E" w:rsidRPr="00AD1027">
        <w:t>analysis,</w:t>
      </w:r>
      <w:r w:rsidRPr="00AD1027">
        <w:t xml:space="preserve"> and planning support</w:t>
      </w:r>
      <w:r w:rsidR="002B667E">
        <w:t xml:space="preserve">. </w:t>
      </w:r>
    </w:p>
    <w:p w14:paraId="5EEE257A" w14:textId="6C46BAE2" w:rsidR="00AD1027" w:rsidRPr="00AD1027" w:rsidRDefault="00AD1027" w:rsidP="00B0403B">
      <w:pPr>
        <w:pStyle w:val="Body"/>
      </w:pPr>
      <w:r w:rsidRPr="00AD1027">
        <w:t xml:space="preserve">The Committee and its Secretariat sit within the Centre for Evaluation and Research Evidence (the Centre) located in the </w:t>
      </w:r>
      <w:r w:rsidR="00775964">
        <w:t>Analytics, Evaluation and</w:t>
      </w:r>
      <w:r w:rsidR="00775964" w:rsidRPr="00AD1027">
        <w:t xml:space="preserve"> </w:t>
      </w:r>
      <w:r w:rsidR="00775964">
        <w:t>Research</w:t>
      </w:r>
      <w:r w:rsidR="00775964" w:rsidRPr="00AD1027">
        <w:t xml:space="preserve"> </w:t>
      </w:r>
      <w:r w:rsidRPr="00AD1027">
        <w:t xml:space="preserve">Branch. The Centre works with partners to provide a clear evidence base for the </w:t>
      </w:r>
      <w:r w:rsidR="00CD52E7">
        <w:t>D</w:t>
      </w:r>
      <w:r w:rsidRPr="00AD1027">
        <w:t xml:space="preserve">epartment to deliver policy, </w:t>
      </w:r>
      <w:r w:rsidR="00CD52E7" w:rsidRPr="00AD1027">
        <w:t>programs,</w:t>
      </w:r>
      <w:r w:rsidRPr="00AD1027">
        <w:t xml:space="preserve"> and services for Victorians. </w:t>
      </w:r>
    </w:p>
    <w:p w14:paraId="623817FA" w14:textId="77777777" w:rsidR="00BC6FDC" w:rsidRPr="00C658D9" w:rsidRDefault="00BC6FDC" w:rsidP="00BC6FDC">
      <w:pPr>
        <w:pStyle w:val="Heading3"/>
        <w:spacing w:line="276" w:lineRule="auto"/>
        <w:jc w:val="both"/>
        <w:rPr>
          <w:rFonts w:eastAsia="Times New Roman"/>
          <w:b/>
          <w:bCs w:val="0"/>
          <w:sz w:val="32"/>
          <w:szCs w:val="28"/>
        </w:rPr>
      </w:pPr>
      <w:r w:rsidRPr="00C658D9">
        <w:rPr>
          <w:rFonts w:eastAsia="Times New Roman"/>
          <w:b/>
          <w:bCs w:val="0"/>
          <w:sz w:val="32"/>
          <w:szCs w:val="28"/>
        </w:rPr>
        <w:t xml:space="preserve">Role of the Committee </w:t>
      </w:r>
    </w:p>
    <w:p w14:paraId="1CFCC6C9" w14:textId="77777777" w:rsidR="00BC6FDC" w:rsidRPr="009E6BB7" w:rsidRDefault="00BC6FDC" w:rsidP="00B0403B">
      <w:pPr>
        <w:pStyle w:val="Body"/>
      </w:pPr>
      <w:r w:rsidRPr="009E6BB7">
        <w:rPr>
          <w:lang w:eastAsia="en-AU"/>
        </w:rPr>
        <w:t xml:space="preserve">The Committee provides robust and independent consideration of research applications put before it for ethical review according to its criteria for referral and the ethical standards set out in the </w:t>
      </w:r>
      <w:r w:rsidRPr="009E6BB7">
        <w:t xml:space="preserve">National Health and Medical Research Council’s </w:t>
      </w:r>
      <w:r w:rsidRPr="009E6BB7">
        <w:rPr>
          <w:i/>
          <w:iCs/>
          <w:lang w:eastAsia="en-AU"/>
        </w:rPr>
        <w:t>National Statement on Ethical Conduct in Human Research</w:t>
      </w:r>
      <w:r w:rsidRPr="009E6BB7">
        <w:rPr>
          <w:lang w:eastAsia="en-AU"/>
        </w:rPr>
        <w:t xml:space="preserve"> (National </w:t>
      </w:r>
      <w:r w:rsidRPr="009E6BB7">
        <w:t xml:space="preserve">Statement, 2018). </w:t>
      </w:r>
    </w:p>
    <w:p w14:paraId="2862D541" w14:textId="77777777" w:rsidR="00BC6FDC" w:rsidRPr="009E6BB7" w:rsidRDefault="00BC6FDC" w:rsidP="00B0403B">
      <w:pPr>
        <w:pStyle w:val="Body"/>
      </w:pPr>
      <w:r w:rsidRPr="009E6BB7">
        <w:t>Specifically, the Committee undertakes ethical reviews of research proposals conducted or commissioned by the Department of Health or otherwise carried out under its auspices. The Committee also considers proposals in the portfolios of the former Department of Health and Human Services including child protection, prevention of family violence, housing, disability, ageing and carers.</w:t>
      </w:r>
    </w:p>
    <w:p w14:paraId="729BD5FC" w14:textId="77777777" w:rsidR="00BC6FDC" w:rsidRPr="009E6BB7" w:rsidRDefault="00BC6FDC" w:rsidP="00B0403B">
      <w:pPr>
        <w:pStyle w:val="Body"/>
        <w:rPr>
          <w:lang w:eastAsia="en-AU"/>
        </w:rPr>
      </w:pPr>
      <w:r w:rsidRPr="009E6BB7">
        <w:t>The Committee thereby ensures that governmental research is conducted to appropriate ethical</w:t>
      </w:r>
      <w:r w:rsidRPr="009E6BB7">
        <w:rPr>
          <w:lang w:eastAsia="en-AU"/>
        </w:rPr>
        <w:t xml:space="preserve"> standards that protect the interests and vulnerabilities of research participants and fosters transparent and accountable research.     </w:t>
      </w:r>
    </w:p>
    <w:p w14:paraId="5F6D074D" w14:textId="6AC94D6F" w:rsidR="00BC6FDC" w:rsidRPr="009E6BB7" w:rsidRDefault="00BC6FDC" w:rsidP="00BC6FDC">
      <w:pPr>
        <w:keepNext/>
        <w:spacing w:line="276" w:lineRule="auto"/>
        <w:jc w:val="both"/>
        <w:outlineLvl w:val="0"/>
        <w:rPr>
          <w:rFonts w:cs="Arial"/>
          <w:szCs w:val="21"/>
        </w:rPr>
      </w:pPr>
      <w:r w:rsidRPr="009E6BB7">
        <w:rPr>
          <w:rFonts w:cs="Arial"/>
          <w:szCs w:val="21"/>
        </w:rPr>
        <w:lastRenderedPageBreak/>
        <w:t xml:space="preserve">The </w:t>
      </w:r>
      <w:r w:rsidR="009E6BB7" w:rsidRPr="009E6BB7">
        <w:rPr>
          <w:rFonts w:cs="Arial"/>
          <w:szCs w:val="21"/>
        </w:rPr>
        <w:t xml:space="preserve">role of the </w:t>
      </w:r>
      <w:r w:rsidRPr="009E6BB7">
        <w:rPr>
          <w:rFonts w:cs="Arial"/>
          <w:szCs w:val="21"/>
        </w:rPr>
        <w:t xml:space="preserve">Committee is to: </w:t>
      </w:r>
    </w:p>
    <w:p w14:paraId="74BDFE65" w14:textId="77777777" w:rsidR="00BC6FDC" w:rsidRPr="009E6BB7" w:rsidRDefault="00BC6FDC" w:rsidP="0082717B">
      <w:pPr>
        <w:pStyle w:val="Bullet1"/>
      </w:pPr>
      <w:r w:rsidRPr="009E6BB7">
        <w:t xml:space="preserve">Consider the ethical implications of research proposals submitted to it for </w:t>
      </w:r>
      <w:proofErr w:type="gramStart"/>
      <w:r w:rsidRPr="009E6BB7">
        <w:t>review;</w:t>
      </w:r>
      <w:proofErr w:type="gramEnd"/>
      <w:r w:rsidRPr="009E6BB7">
        <w:t> </w:t>
      </w:r>
    </w:p>
    <w:p w14:paraId="37D55856" w14:textId="77777777" w:rsidR="00BC6FDC" w:rsidRPr="009E6BB7" w:rsidRDefault="00BC6FDC" w:rsidP="0082717B">
      <w:pPr>
        <w:pStyle w:val="Bullet1"/>
      </w:pPr>
      <w:r w:rsidRPr="009E6BB7">
        <w:t xml:space="preserve">Evaluate the ethical conduct of research involving humans according to the National Statement and </w:t>
      </w:r>
      <w:r w:rsidRPr="009E6BB7">
        <w:rPr>
          <w:i/>
          <w:iCs/>
        </w:rPr>
        <w:t>Australian Code for the Responsible Conduct of Research</w:t>
      </w:r>
      <w:r w:rsidRPr="009E6BB7">
        <w:t xml:space="preserve"> (Australian Code, 2018</w:t>
      </w:r>
      <w:proofErr w:type="gramStart"/>
      <w:r w:rsidRPr="009E6BB7">
        <w:t>);</w:t>
      </w:r>
      <w:proofErr w:type="gramEnd"/>
    </w:p>
    <w:p w14:paraId="0EAAA799" w14:textId="77777777" w:rsidR="00BC6FDC" w:rsidRPr="009E6BB7" w:rsidRDefault="00BC6FDC" w:rsidP="0082717B">
      <w:pPr>
        <w:pStyle w:val="Bullet1"/>
      </w:pPr>
      <w:r w:rsidRPr="009E6BB7">
        <w:t xml:space="preserve">Comply with all guidelines and legislation relevant to research proposals </w:t>
      </w:r>
      <w:proofErr w:type="gramStart"/>
      <w:r w:rsidRPr="009E6BB7">
        <w:t>considered;</w:t>
      </w:r>
      <w:proofErr w:type="gramEnd"/>
    </w:p>
    <w:p w14:paraId="43EC4F94" w14:textId="77777777" w:rsidR="00BC6FDC" w:rsidRPr="009E6BB7" w:rsidRDefault="00BC6FDC" w:rsidP="0082717B">
      <w:pPr>
        <w:pStyle w:val="Bullet1"/>
      </w:pPr>
      <w:r w:rsidRPr="009E6BB7">
        <w:t>Provide advice on matters of an ethical nature, as required by the Secretary of the Department of Health (the Secretary); and </w:t>
      </w:r>
    </w:p>
    <w:p w14:paraId="5BB5C70B" w14:textId="77777777" w:rsidR="00BC6FDC" w:rsidRPr="009E6BB7" w:rsidRDefault="00BC6FDC" w:rsidP="0082717B">
      <w:pPr>
        <w:pStyle w:val="Bullet1"/>
      </w:pPr>
      <w:r w:rsidRPr="009E6BB7">
        <w:t xml:space="preserve">Provide a report annually to the Secretary. </w:t>
      </w:r>
    </w:p>
    <w:p w14:paraId="00B12877" w14:textId="77777777" w:rsidR="0082717B" w:rsidRDefault="0082717B" w:rsidP="00C658D9">
      <w:pPr>
        <w:pStyle w:val="Tabletext"/>
        <w:spacing w:line="276" w:lineRule="auto"/>
        <w:jc w:val="both"/>
        <w:rPr>
          <w:szCs w:val="21"/>
        </w:rPr>
      </w:pPr>
    </w:p>
    <w:p w14:paraId="63752BC3" w14:textId="655B9780" w:rsidR="0011695F" w:rsidRPr="0082717B" w:rsidRDefault="00D11C6D" w:rsidP="0082717B">
      <w:pPr>
        <w:pStyle w:val="Tabletext"/>
        <w:spacing w:line="276" w:lineRule="auto"/>
        <w:jc w:val="both"/>
        <w:rPr>
          <w:szCs w:val="21"/>
        </w:rPr>
      </w:pPr>
      <w:r w:rsidRPr="009E6BB7">
        <w:rPr>
          <w:szCs w:val="21"/>
        </w:rPr>
        <w:t>The Committee meets eight times a year. For more information, see the Human Research Ethics Committee webpage on the Department of Health website &lt;</w:t>
      </w:r>
      <w:hyperlink r:id="rId19" w:history="1">
        <w:r w:rsidRPr="009E6BB7">
          <w:rPr>
            <w:rStyle w:val="Hyperlink"/>
            <w:rFonts w:eastAsia="MS Gothic"/>
            <w:szCs w:val="21"/>
          </w:rPr>
          <w:t>https://www.health.vic.gov.au/clinical-trials-and-research/department-of-health-human-research-ethics-committee</w:t>
        </w:r>
      </w:hyperlink>
      <w:r w:rsidRPr="009E6BB7">
        <w:rPr>
          <w:szCs w:val="21"/>
        </w:rPr>
        <w:t>&gt;</w:t>
      </w:r>
    </w:p>
    <w:p w14:paraId="512B08E3" w14:textId="77777777" w:rsidR="00C4426F" w:rsidRDefault="00C4426F" w:rsidP="00C4426F">
      <w:pPr>
        <w:pStyle w:val="Heading1"/>
      </w:pPr>
      <w:r>
        <w:t>Key selection criteria</w:t>
      </w:r>
    </w:p>
    <w:p w14:paraId="7B00D7AF" w14:textId="77777777" w:rsidR="00C4426F" w:rsidRDefault="00C4426F" w:rsidP="00C4426F">
      <w:pPr>
        <w:pStyle w:val="Heading2"/>
      </w:pPr>
      <w:r>
        <w:t>Technical expertise</w:t>
      </w:r>
    </w:p>
    <w:p w14:paraId="6FD77FC6" w14:textId="7A2C3747" w:rsidR="007F0D6C" w:rsidRPr="007F0D6C" w:rsidRDefault="007F0D6C" w:rsidP="007F0D6C">
      <w:pPr>
        <w:pStyle w:val="DHHSbody"/>
        <w:numPr>
          <w:ilvl w:val="0"/>
          <w:numId w:val="41"/>
        </w:numPr>
        <w:spacing w:line="276" w:lineRule="auto"/>
        <w:jc w:val="both"/>
        <w:rPr>
          <w:sz w:val="21"/>
          <w:szCs w:val="21"/>
        </w:rPr>
      </w:pPr>
      <w:r w:rsidRPr="007F0D6C">
        <w:rPr>
          <w:sz w:val="21"/>
          <w:szCs w:val="21"/>
        </w:rPr>
        <w:t>Experience as Chair/member of a committee</w:t>
      </w:r>
      <w:r>
        <w:rPr>
          <w:sz w:val="21"/>
          <w:szCs w:val="21"/>
        </w:rPr>
        <w:t>.</w:t>
      </w:r>
    </w:p>
    <w:p w14:paraId="394DC491" w14:textId="77777777" w:rsidR="007F0D6C" w:rsidRPr="007F0D6C" w:rsidRDefault="007F0D6C" w:rsidP="007F0D6C">
      <w:pPr>
        <w:pStyle w:val="DHHSbody"/>
        <w:numPr>
          <w:ilvl w:val="0"/>
          <w:numId w:val="41"/>
        </w:numPr>
        <w:spacing w:line="276" w:lineRule="auto"/>
        <w:jc w:val="both"/>
        <w:rPr>
          <w:sz w:val="21"/>
          <w:szCs w:val="21"/>
        </w:rPr>
      </w:pPr>
      <w:r w:rsidRPr="007F0D6C">
        <w:rPr>
          <w:sz w:val="21"/>
          <w:szCs w:val="21"/>
        </w:rPr>
        <w:t>A sound understanding of governance requirements and demonstrated knowledge of deliberative processes that aim to secure transparent and justified lines of decision-making.</w:t>
      </w:r>
    </w:p>
    <w:p w14:paraId="65D9CCE6" w14:textId="77777777" w:rsidR="00C4426F" w:rsidRDefault="00C4426F" w:rsidP="00C4426F">
      <w:pPr>
        <w:pStyle w:val="Heading2"/>
      </w:pPr>
      <w:r>
        <w:t>Knowledge and skills</w:t>
      </w:r>
    </w:p>
    <w:p w14:paraId="074588B4" w14:textId="77777777" w:rsidR="00067AA4" w:rsidRPr="007F0D6C" w:rsidRDefault="00067AA4" w:rsidP="007F0D6C">
      <w:pPr>
        <w:pStyle w:val="DHHSnumberdigit"/>
        <w:numPr>
          <w:ilvl w:val="0"/>
          <w:numId w:val="41"/>
        </w:numPr>
        <w:spacing w:line="276" w:lineRule="auto"/>
        <w:jc w:val="both"/>
        <w:rPr>
          <w:sz w:val="21"/>
          <w:szCs w:val="21"/>
        </w:rPr>
      </w:pPr>
      <w:r w:rsidRPr="007F0D6C">
        <w:rPr>
          <w:sz w:val="21"/>
          <w:szCs w:val="21"/>
        </w:rPr>
        <w:t>Problem-solving: seeks all relevant information for identifying matters relevant to the ethical evaluation of research proposals; investigates and probes for the facts; draws sound inferences from available information; formulates and implements workable solutions to problems.</w:t>
      </w:r>
    </w:p>
    <w:p w14:paraId="119A1B2A" w14:textId="77777777" w:rsidR="00067AA4" w:rsidRPr="007F0D6C" w:rsidRDefault="00067AA4" w:rsidP="007F0D6C">
      <w:pPr>
        <w:pStyle w:val="DHHSnumberdigit"/>
        <w:numPr>
          <w:ilvl w:val="0"/>
          <w:numId w:val="41"/>
        </w:numPr>
        <w:spacing w:line="276" w:lineRule="auto"/>
        <w:jc w:val="both"/>
        <w:rPr>
          <w:sz w:val="21"/>
          <w:szCs w:val="21"/>
        </w:rPr>
      </w:pPr>
      <w:r w:rsidRPr="007F0D6C">
        <w:rPr>
          <w:sz w:val="21"/>
          <w:szCs w:val="21"/>
        </w:rPr>
        <w:t>Decisiveness: makes quick decisions where required; is adaptable and flexible; accepts changed priorities without undue discomfort; identifies relevant risk factors and proportionate mitigation strategies.</w:t>
      </w:r>
    </w:p>
    <w:p w14:paraId="7ACF97C3" w14:textId="77777777" w:rsidR="00C4426F" w:rsidRDefault="00C4426F" w:rsidP="00C4426F">
      <w:pPr>
        <w:pStyle w:val="Heading2"/>
      </w:pPr>
      <w:r>
        <w:t>Personal qualities</w:t>
      </w:r>
    </w:p>
    <w:p w14:paraId="74F59518" w14:textId="13CF398D" w:rsidR="00D916E4" w:rsidRDefault="00D916E4" w:rsidP="007F0D6C">
      <w:pPr>
        <w:pStyle w:val="Numberdigit"/>
        <w:numPr>
          <w:ilvl w:val="0"/>
          <w:numId w:val="41"/>
        </w:numPr>
      </w:pPr>
      <w:r w:rsidRPr="006F3515">
        <w:t xml:space="preserve">Relationship </w:t>
      </w:r>
      <w:proofErr w:type="gramStart"/>
      <w:r w:rsidRPr="006F3515">
        <w:t>building:</w:t>
      </w:r>
      <w:proofErr w:type="gramEnd"/>
      <w:r w:rsidRPr="006F3515">
        <w:t xml:space="preserve"> establishes and maintains relationships with people at all levels; promotes harmony and consensus through diplomatic handling of disagreements</w:t>
      </w:r>
      <w:r>
        <w:t>;</w:t>
      </w:r>
      <w:r w:rsidRPr="006F3515">
        <w:t xml:space="preserve"> builds trust through consistent actions, values and communication.  </w:t>
      </w:r>
    </w:p>
    <w:p w14:paraId="4FB316E9" w14:textId="1118B3AA" w:rsidR="00FC54D0" w:rsidRDefault="00D916E4" w:rsidP="007F0D6C">
      <w:pPr>
        <w:pStyle w:val="Numberdigit"/>
        <w:numPr>
          <w:ilvl w:val="0"/>
          <w:numId w:val="41"/>
        </w:numPr>
      </w:pPr>
      <w:r w:rsidRPr="009424F5">
        <w:t xml:space="preserve">Conceptual and analytical ability: deals with concepts and complexity comfortably; uses analytical and conceptual skills to </w:t>
      </w:r>
      <w:r>
        <w:t xml:space="preserve">consider issues; </w:t>
      </w:r>
      <w:r w:rsidRPr="009424F5">
        <w:t>has creative ideas and can project how these can link to innovations.</w:t>
      </w:r>
    </w:p>
    <w:p w14:paraId="4FE3C6FA" w14:textId="73A9AF32" w:rsidR="00C4426F" w:rsidRDefault="00C4426F" w:rsidP="00C4426F">
      <w:pPr>
        <w:pStyle w:val="Heading1"/>
      </w:pPr>
      <w:r>
        <w:t>Important information</w:t>
      </w:r>
    </w:p>
    <w:p w14:paraId="70554879" w14:textId="77777777" w:rsidR="00C4426F" w:rsidRDefault="00C4426F" w:rsidP="00C4426F">
      <w:pPr>
        <w:pStyle w:val="Body"/>
      </w:pPr>
      <w:r>
        <w:t xml:space="preserve">The salary range for this position is set out in Schedule B of the </w:t>
      </w:r>
      <w:r>
        <w:rPr>
          <w:i/>
          <w:iCs/>
        </w:rPr>
        <w:t>Victorian Public Service Enterprise Agreement</w:t>
      </w:r>
      <w:r>
        <w:t xml:space="preserve"> 2020. For further information refer to </w:t>
      </w:r>
      <w:hyperlink r:id="rId20" w:history="1">
        <w:r w:rsidRPr="004D3082">
          <w:rPr>
            <w:rStyle w:val="Hyperlink"/>
          </w:rPr>
          <w:t xml:space="preserve">Department of Treasury and Finance </w:t>
        </w:r>
      </w:hyperlink>
      <w:r>
        <w:t>&lt;</w:t>
      </w:r>
      <w:r w:rsidRPr="004D3082">
        <w:t>https://www.dtf.vic.gov.au/home</w:t>
      </w:r>
      <w:r>
        <w:t>&gt;).</w:t>
      </w:r>
    </w:p>
    <w:p w14:paraId="12CA3A21" w14:textId="36FC3870" w:rsidR="00C4426F" w:rsidRDefault="00C4426F" w:rsidP="00C4426F">
      <w:pPr>
        <w:pStyle w:val="Body"/>
      </w:pPr>
      <w:r>
        <w:t>The Department of Health’s policy stipules that salary upon commencement is paid at the base of the salary range for the relevant grade. Any above base requests require sign off by an executive delegate and will be by exception only or where required to match the current salary of a Victorian Public Service staff transferring at-level.</w:t>
      </w:r>
    </w:p>
    <w:p w14:paraId="7324B450" w14:textId="77777777" w:rsidR="00C4426F" w:rsidRDefault="00C4426F" w:rsidP="00C4426F">
      <w:pPr>
        <w:pStyle w:val="Body"/>
      </w:pPr>
      <w:r>
        <w:lastRenderedPageBreak/>
        <w:t>Individuals who have received a Voluntary Departure Package from a Victoria Public Service department/agency are ineligible for re-employment for a minimum period of three calendar years from the date of separation.</w:t>
      </w:r>
    </w:p>
    <w:p w14:paraId="62266755" w14:textId="77777777" w:rsidR="00C4426F" w:rsidRDefault="00C4426F" w:rsidP="00C4426F">
      <w:pPr>
        <w:pStyle w:val="Body"/>
      </w:pPr>
      <w:r>
        <w:t>The department is a key emergency management partner and contributes significantly to Victoria’s emergency management arrangements. As part of a whole of government agreement, employees may be required to undertake training in emergency management and support functions during an emergency and may be redeployed to facilitate this need.</w:t>
      </w:r>
    </w:p>
    <w:p w14:paraId="765714E6" w14:textId="77777777" w:rsidR="00C4426F" w:rsidRDefault="00C4426F" w:rsidP="00C4426F">
      <w:pPr>
        <w:pStyle w:val="Body"/>
      </w:pPr>
      <w:r>
        <w:t>The department is committed to providing and maintain a working environment which is safe and without risk to the health of its employees.</w:t>
      </w:r>
    </w:p>
    <w:p w14:paraId="05C9A069" w14:textId="77777777" w:rsidR="00C4426F" w:rsidRDefault="00C4426F" w:rsidP="00C4426F">
      <w:pPr>
        <w:pStyle w:val="Heading1"/>
      </w:pPr>
      <w:r>
        <w:t>Pre-employment checks</w:t>
      </w:r>
    </w:p>
    <w:p w14:paraId="231BA281" w14:textId="00E79E2F" w:rsidR="00C4426F" w:rsidRDefault="00C4426F" w:rsidP="00C4426F">
      <w:pPr>
        <w:pStyle w:val="Body"/>
      </w:pPr>
      <w:r>
        <w:t>All appointments to the Department of Health are subject to reference checks, pre-employment misconduct screening and national criminal records checks. Some positions may also be subject to a ‘Working with Children Check’.</w:t>
      </w:r>
    </w:p>
    <w:p w14:paraId="7635F7D7" w14:textId="134643BE" w:rsidR="00C4426F" w:rsidRDefault="00C4426F" w:rsidP="00C4426F">
      <w:pPr>
        <w:pStyle w:val="Body"/>
      </w:pPr>
      <w:r>
        <w:t xml:space="preserve">Applicants who have lived overseas for 12 months or longer in one country in the last 10 years are required to provide an international policy check. Applicants can obtain this from the relevant overseas police agency – further information can be sought from the </w:t>
      </w:r>
      <w:r w:rsidRPr="00682D8E">
        <w:t>Department of Home Affairs website ‘character and policy certificate requirements’ page.</w:t>
      </w:r>
      <w:r>
        <w:t xml:space="preserve"> Alternatively, applicants can obtain a check through an organisation which provides international policy checks via an internet search.</w:t>
      </w:r>
    </w:p>
    <w:p w14:paraId="6B44C086" w14:textId="77777777" w:rsidR="00403ACB" w:rsidRDefault="00403ACB" w:rsidP="00403ACB">
      <w:pPr>
        <w:pStyle w:val="Heading1"/>
      </w:pPr>
      <w:r>
        <w:t>Mandatory Vaccination Policy</w:t>
      </w:r>
    </w:p>
    <w:p w14:paraId="09A18B12" w14:textId="079C318D" w:rsidR="00403ACB" w:rsidRDefault="00403ACB" w:rsidP="00D154E0">
      <w:pPr>
        <w:pStyle w:val="Body"/>
      </w:pPr>
      <w:r w:rsidRPr="00403ACB">
        <w:rPr>
          <w:rStyle w:val="BodyChar"/>
        </w:rPr>
        <w:t>The department is committed to providing and maintaining a working environment which is safe and without risk to the health of its workers and clients.  As it is an essential element of any role within the department that employees be able to attend work onsite and to do so safely, employees are required to be fully vaccinated against COVID-19 as a condition of their employment.  This requirement applies unless they have a medical condition which means they cannot be vaccinated against COVID -19.  Therefore, the department will ask any prospective employee, who has been identified as the preferred candidate for a role within the department, to provide proof of their COVID-19 vaccination status prior to any offer of employment being made.  If a prospective employee has a relevant medical condition which means they cannot be vaccinated against COVID-19, they should contact the department to discuss their individual circumstances</w:t>
      </w:r>
      <w:r w:rsidRPr="00403ACB">
        <w:t>.</w:t>
      </w:r>
    </w:p>
    <w:p w14:paraId="211734E1" w14:textId="77777777" w:rsidR="00C4426F" w:rsidRDefault="00C4426F" w:rsidP="00C4426F">
      <w:pPr>
        <w:pStyle w:val="Heading1"/>
      </w:pPr>
      <w:r>
        <w:t>Values and behaviours</w:t>
      </w:r>
    </w:p>
    <w:p w14:paraId="1254695E" w14:textId="1809F4C0" w:rsidR="00C4426F" w:rsidRDefault="00C4426F" w:rsidP="00C4426F">
      <w:pPr>
        <w:pStyle w:val="Body"/>
      </w:pPr>
      <w:r>
        <w:t>The Department of Health employees are required to demonstrate commitment to:</w:t>
      </w:r>
    </w:p>
    <w:p w14:paraId="4B5AF584" w14:textId="77777777" w:rsidR="00C4426F" w:rsidRPr="00EE2097" w:rsidRDefault="00C4426F" w:rsidP="00C4426F">
      <w:pPr>
        <w:pStyle w:val="Body"/>
      </w:pPr>
      <w:r>
        <w:rPr>
          <w:b/>
          <w:bCs/>
        </w:rPr>
        <w:t>The public sector values and behaviours</w:t>
      </w:r>
      <w:r>
        <w:t xml:space="preserve"> – responsiveness, integrity, impartiality, accountability, respect, </w:t>
      </w:r>
      <w:proofErr w:type="gramStart"/>
      <w:r>
        <w:t>leadership</w:t>
      </w:r>
      <w:proofErr w:type="gramEnd"/>
      <w:r>
        <w:t xml:space="preserve"> and human rights.</w:t>
      </w:r>
    </w:p>
    <w:p w14:paraId="7B89B5E5" w14:textId="77777777" w:rsidR="00C4426F" w:rsidRPr="00643F0B" w:rsidRDefault="00C4426F" w:rsidP="00C4426F">
      <w:pPr>
        <w:pStyle w:val="Body"/>
      </w:pPr>
      <w:r>
        <w:rPr>
          <w:b/>
          <w:bCs/>
        </w:rPr>
        <w:t>Recordkeeping</w:t>
      </w:r>
      <w:r>
        <w:t xml:space="preserve"> – The department is committed to good record keeping and requires all staff to routinely create and keep full and accurate records of their work-related activities, </w:t>
      </w:r>
      <w:proofErr w:type="gramStart"/>
      <w:r>
        <w:t>transactions</w:t>
      </w:r>
      <w:proofErr w:type="gramEnd"/>
      <w:r>
        <w:t xml:space="preserve"> and decisions, using authorised systems.</w:t>
      </w:r>
    </w:p>
    <w:p w14:paraId="6D141670" w14:textId="77777777" w:rsidR="00C4426F" w:rsidRDefault="00C4426F" w:rsidP="00C4426F">
      <w:pPr>
        <w:pStyle w:val="Body"/>
      </w:pPr>
      <w:r>
        <w:rPr>
          <w:b/>
          <w:bCs/>
        </w:rPr>
        <w:t>Diversity</w:t>
      </w:r>
      <w:r>
        <w:t xml:space="preserve"> – The department values an inclusive workplace that embraces diversity and strongly encourages applications from Aboriginal people, people with disability, people from the LGBTQI+ community, and people from culturally diverse backgrounds.</w:t>
      </w:r>
    </w:p>
    <w:p w14:paraId="36ADB775" w14:textId="77777777" w:rsidR="00C4426F" w:rsidRDefault="00C4426F" w:rsidP="00C4426F">
      <w:pPr>
        <w:pStyle w:val="Heading1"/>
      </w:pPr>
      <w:r>
        <w:lastRenderedPageBreak/>
        <w:t>Further information</w:t>
      </w:r>
    </w:p>
    <w:p w14:paraId="4163C537" w14:textId="45B870BB" w:rsidR="00C4426F" w:rsidRDefault="00C4426F" w:rsidP="00C4426F">
      <w:pPr>
        <w:pStyle w:val="Body"/>
      </w:pPr>
      <w:r>
        <w:t>F</w:t>
      </w:r>
      <w:r w:rsidRPr="008F7893">
        <w:t xml:space="preserve">or further information </w:t>
      </w:r>
      <w:r>
        <w:t xml:space="preserve">visit </w:t>
      </w:r>
      <w:hyperlink r:id="rId21" w:history="1">
        <w:r w:rsidRPr="00C4426F">
          <w:rPr>
            <w:rStyle w:val="Hyperlink"/>
          </w:rPr>
          <w:t>About the Department of Health</w:t>
        </w:r>
      </w:hyperlink>
      <w:r>
        <w:t xml:space="preserve"> &lt;</w:t>
      </w:r>
      <w:r w:rsidRPr="00C4426F">
        <w:t>https://www.vic.gov.au/health/about-us</w:t>
      </w:r>
      <w:r>
        <w:t>&gt;</w:t>
      </w:r>
    </w:p>
    <w:p w14:paraId="18B6569C" w14:textId="77777777" w:rsidR="00C4426F" w:rsidRPr="00F32368" w:rsidRDefault="00C4426F" w:rsidP="00F32368">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590D4800" w14:textId="77777777" w:rsidTr="00EC40D5">
        <w:tc>
          <w:tcPr>
            <w:tcW w:w="10194" w:type="dxa"/>
          </w:tcPr>
          <w:p w14:paraId="565A654C" w14:textId="1B56D682" w:rsidR="0055119B" w:rsidRPr="0055119B" w:rsidRDefault="0055119B" w:rsidP="0055119B">
            <w:pPr>
              <w:pStyle w:val="Accessibilitypara"/>
            </w:pPr>
            <w:r w:rsidRPr="0055119B">
              <w:t>To receive this document in another format</w:t>
            </w:r>
            <w:r>
              <w:t>,</w:t>
            </w:r>
            <w:r w:rsidRPr="0055119B">
              <w:t xml:space="preserve"> </w:t>
            </w:r>
            <w:hyperlink r:id="rId22" w:history="1">
              <w:r w:rsidR="003221C8" w:rsidRPr="003221C8">
                <w:rPr>
                  <w:rStyle w:val="Hyperlink"/>
                </w:rPr>
                <w:t>email People and Culture</w:t>
              </w:r>
            </w:hyperlink>
            <w:r w:rsidR="003221C8">
              <w:t xml:space="preserve"> &lt;</w:t>
            </w:r>
            <w:r w:rsidR="003221C8" w:rsidRPr="003221C8">
              <w:t>careers@dhhs.vic.gov.au</w:t>
            </w:r>
            <w:r w:rsidR="003221C8">
              <w:t>&gt;.</w:t>
            </w:r>
          </w:p>
          <w:p w14:paraId="64ED02C1" w14:textId="77777777" w:rsidR="0055119B" w:rsidRPr="0055119B" w:rsidRDefault="0055119B" w:rsidP="00E33237">
            <w:pPr>
              <w:pStyle w:val="Imprint"/>
            </w:pPr>
            <w:r w:rsidRPr="0055119B">
              <w:t>Authorised and published by the Victorian Government, 1 Treasury Place, Melbourne.</w:t>
            </w:r>
          </w:p>
          <w:p w14:paraId="738F8066" w14:textId="77777777"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Pr="00E33237">
              <w:rPr>
                <w:color w:val="004C97"/>
              </w:rPr>
              <w:t>month year</w:t>
            </w:r>
            <w:r w:rsidRPr="0055119B">
              <w:t>.</w:t>
            </w:r>
          </w:p>
          <w:p w14:paraId="79AA8921" w14:textId="77777777" w:rsidR="0055119B" w:rsidRDefault="0055119B" w:rsidP="003221C8">
            <w:pPr>
              <w:pStyle w:val="Body"/>
            </w:pPr>
            <w:r w:rsidRPr="00E33237">
              <w:t>In this document, ‘Aboriginal’ refers to both Aboriginal and Torres Strait Islander people. ‘Indigenous’ or ‘Koori/</w:t>
            </w:r>
            <w:proofErr w:type="spellStart"/>
            <w:r w:rsidRPr="00E33237">
              <w:t>Koorie</w:t>
            </w:r>
            <w:proofErr w:type="spellEnd"/>
            <w:r w:rsidRPr="00E33237">
              <w:t xml:space="preserve">’ is retained when part of the title of a report, </w:t>
            </w:r>
            <w:proofErr w:type="gramStart"/>
            <w:r w:rsidRPr="00E33237">
              <w:t>program</w:t>
            </w:r>
            <w:proofErr w:type="gramEnd"/>
            <w:r w:rsidRPr="00E33237">
              <w:t xml:space="preserve"> or quotation.</w:t>
            </w:r>
          </w:p>
          <w:p w14:paraId="596A2B55" w14:textId="00E479BD" w:rsidR="003221C8" w:rsidRPr="001078C9" w:rsidRDefault="003221C8" w:rsidP="001078C9">
            <w:pPr>
              <w:pStyle w:val="Body"/>
            </w:pPr>
            <w:r>
              <w:t xml:space="preserve">Available at </w:t>
            </w:r>
            <w:hyperlink r:id="rId23" w:history="1">
              <w:r w:rsidRPr="003221C8">
                <w:rPr>
                  <w:rStyle w:val="Hyperlink"/>
                </w:rPr>
                <w:t>careers.vic.gov.au</w:t>
              </w:r>
            </w:hyperlink>
            <w:r>
              <w:t xml:space="preserve"> &lt;</w:t>
            </w:r>
            <w:r w:rsidRPr="003221C8">
              <w:t>https://careers.vic.gov.au/</w:t>
            </w:r>
            <w:r>
              <w:t xml:space="preserve">&gt; and </w:t>
            </w:r>
            <w:hyperlink r:id="rId24" w:history="1">
              <w:r w:rsidRPr="003221C8">
                <w:rPr>
                  <w:rStyle w:val="Hyperlink"/>
                </w:rPr>
                <w:t>Jobs and Skills Exchange</w:t>
              </w:r>
            </w:hyperlink>
            <w:r>
              <w:t xml:space="preserve"> &lt;</w:t>
            </w:r>
            <w:r w:rsidRPr="003221C8">
              <w:t>https://jse.vic.gov.au/</w:t>
            </w:r>
            <w:r>
              <w:t>&gt;</w:t>
            </w:r>
          </w:p>
        </w:tc>
      </w:tr>
      <w:bookmarkEnd w:id="0"/>
    </w:tbl>
    <w:p w14:paraId="6D9005F5" w14:textId="77777777" w:rsidR="00162CA9" w:rsidRDefault="00162CA9" w:rsidP="00162CA9">
      <w:pPr>
        <w:pStyle w:val="Body"/>
      </w:pPr>
    </w:p>
    <w:sectPr w:rsidR="00162CA9" w:rsidSect="00E62622">
      <w:headerReference w:type="default" r:id="rId2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3035C" w14:textId="77777777" w:rsidR="003B58C7" w:rsidRDefault="003B58C7">
      <w:r>
        <w:separator/>
      </w:r>
    </w:p>
  </w:endnote>
  <w:endnote w:type="continuationSeparator" w:id="0">
    <w:p w14:paraId="7D10F4D9" w14:textId="77777777" w:rsidR="003B58C7" w:rsidRDefault="003B5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EC4B" w14:textId="77777777" w:rsidR="00253618" w:rsidRDefault="00253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F3642" w14:textId="1B29631F" w:rsidR="00E261B3" w:rsidRPr="00F65AA9" w:rsidRDefault="00CB3783" w:rsidP="00F84FA0">
    <w:pPr>
      <w:pStyle w:val="Footer"/>
    </w:pPr>
    <w:r>
      <w:rPr>
        <w:noProof/>
        <w:lang w:eastAsia="en-AU"/>
      </w:rPr>
      <mc:AlternateContent>
        <mc:Choice Requires="wps">
          <w:drawing>
            <wp:anchor distT="0" distB="0" distL="114300" distR="114300" simplePos="0" relativeHeight="251658240" behindDoc="0" locked="0" layoutInCell="0" allowOverlap="1" wp14:anchorId="1DCC544F" wp14:editId="7A14A893">
              <wp:simplePos x="0" y="0"/>
              <wp:positionH relativeFrom="page">
                <wp:posOffset>0</wp:posOffset>
              </wp:positionH>
              <wp:positionV relativeFrom="page">
                <wp:posOffset>10189210</wp:posOffset>
              </wp:positionV>
              <wp:extent cx="7560310" cy="311785"/>
              <wp:effectExtent l="0" t="0" r="0" b="12065"/>
              <wp:wrapNone/>
              <wp:docPr id="5" name="MSIPCM5a954b6d869663fbbfa64e57"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E7EC9A" w14:textId="424340AD" w:rsidR="00CB3783" w:rsidRPr="00CB3783" w:rsidRDefault="00CB3783" w:rsidP="00CB3783">
                          <w:pPr>
                            <w:spacing w:after="0"/>
                            <w:jc w:val="center"/>
                            <w:rPr>
                              <w:rFonts w:ascii="Arial Black" w:hAnsi="Arial Black"/>
                              <w:color w:val="000000"/>
                              <w:sz w:val="20"/>
                            </w:rPr>
                          </w:pPr>
                          <w:r w:rsidRPr="00CB378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CC544F" id="_x0000_t202" coordsize="21600,21600" o:spt="202" path="m,l,21600r21600,l21600,xe">
              <v:stroke joinstyle="miter"/>
              <v:path gradientshapeok="t" o:connecttype="rect"/>
            </v:shapetype>
            <v:shape id="MSIPCM5a954b6d869663fbbfa64e57"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fill o:detectmouseclick="t"/>
              <v:textbox inset=",0,,0">
                <w:txbxContent>
                  <w:p w14:paraId="07E7EC9A" w14:textId="424340AD" w:rsidR="00CB3783" w:rsidRPr="00CB3783" w:rsidRDefault="00CB3783" w:rsidP="00CB3783">
                    <w:pPr>
                      <w:spacing w:after="0"/>
                      <w:jc w:val="center"/>
                      <w:rPr>
                        <w:rFonts w:ascii="Arial Black" w:hAnsi="Arial Black"/>
                        <w:color w:val="000000"/>
                        <w:sz w:val="20"/>
                      </w:rPr>
                    </w:pPr>
                    <w:r w:rsidRPr="00CB3783">
                      <w:rPr>
                        <w:rFonts w:ascii="Arial Black" w:hAnsi="Arial Black"/>
                        <w:color w:val="000000"/>
                        <w:sz w:val="20"/>
                      </w:rPr>
                      <w:t>OFFICIAL</w:t>
                    </w:r>
                  </w:p>
                </w:txbxContent>
              </v:textbox>
              <w10:wrap anchorx="page" anchory="page"/>
            </v:shape>
          </w:pict>
        </mc:Fallback>
      </mc:AlternateContent>
    </w:r>
    <w:r w:rsidR="00315BD8">
      <w:rPr>
        <w:noProof/>
        <w:lang w:eastAsia="en-AU"/>
      </w:rPr>
      <w:drawing>
        <wp:anchor distT="0" distB="0" distL="114300" distR="114300" simplePos="0" relativeHeight="251656192" behindDoc="1" locked="1" layoutInCell="1" allowOverlap="1" wp14:anchorId="2E176025" wp14:editId="51D04102">
          <wp:simplePos x="0" y="0"/>
          <wp:positionH relativeFrom="page">
            <wp:align>left</wp:align>
          </wp:positionH>
          <wp:positionV relativeFrom="page">
            <wp:align>bottom</wp:align>
          </wp:positionV>
          <wp:extent cx="7560000" cy="964800"/>
          <wp:effectExtent l="0" t="0" r="3175" b="6985"/>
          <wp:wrapNone/>
          <wp:docPr id="3" name="Picture 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A733" w14:textId="5BCA2C0B" w:rsidR="00E261B3" w:rsidRDefault="00CB3783">
    <w:pPr>
      <w:pStyle w:val="Footer"/>
    </w:pPr>
    <w:r>
      <w:rPr>
        <w:noProof/>
      </w:rPr>
      <mc:AlternateContent>
        <mc:Choice Requires="wps">
          <w:drawing>
            <wp:anchor distT="0" distB="0" distL="114300" distR="114300" simplePos="1" relativeHeight="251660288" behindDoc="0" locked="0" layoutInCell="0" allowOverlap="1" wp14:anchorId="7608935C" wp14:editId="1298ACFB">
              <wp:simplePos x="0" y="10189687"/>
              <wp:positionH relativeFrom="page">
                <wp:posOffset>0</wp:posOffset>
              </wp:positionH>
              <wp:positionV relativeFrom="page">
                <wp:posOffset>10189210</wp:posOffset>
              </wp:positionV>
              <wp:extent cx="7560310" cy="311785"/>
              <wp:effectExtent l="0" t="0" r="0" b="12065"/>
              <wp:wrapNone/>
              <wp:docPr id="6" name="MSIPCM8eda4767a241d071d51e8d39"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F2A791" w14:textId="3FBA181F" w:rsidR="00CB3783" w:rsidRPr="00CB3783" w:rsidRDefault="00CB3783" w:rsidP="00CB3783">
                          <w:pPr>
                            <w:spacing w:after="0"/>
                            <w:jc w:val="center"/>
                            <w:rPr>
                              <w:rFonts w:ascii="Arial Black" w:hAnsi="Arial Black"/>
                              <w:color w:val="000000"/>
                              <w:sz w:val="20"/>
                            </w:rPr>
                          </w:pPr>
                          <w:r w:rsidRPr="00CB378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08935C" id="_x0000_t202" coordsize="21600,21600" o:spt="202" path="m,l,21600r21600,l21600,xe">
              <v:stroke joinstyle="miter"/>
              <v:path gradientshapeok="t" o:connecttype="rect"/>
            </v:shapetype>
            <v:shape id="MSIPCM8eda4767a241d071d51e8d39"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fill o:detectmouseclick="t"/>
              <v:textbox inset=",0,,0">
                <w:txbxContent>
                  <w:p w14:paraId="1AF2A791" w14:textId="3FBA181F" w:rsidR="00CB3783" w:rsidRPr="00CB3783" w:rsidRDefault="00CB3783" w:rsidP="00CB3783">
                    <w:pPr>
                      <w:spacing w:after="0"/>
                      <w:jc w:val="center"/>
                      <w:rPr>
                        <w:rFonts w:ascii="Arial Black" w:hAnsi="Arial Black"/>
                        <w:color w:val="000000"/>
                        <w:sz w:val="20"/>
                      </w:rPr>
                    </w:pPr>
                    <w:r w:rsidRPr="00CB3783">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29D47" w14:textId="77777777" w:rsidR="003B58C7" w:rsidRDefault="003B58C7" w:rsidP="002862F1">
      <w:pPr>
        <w:spacing w:before="120"/>
      </w:pPr>
      <w:r>
        <w:separator/>
      </w:r>
    </w:p>
  </w:footnote>
  <w:footnote w:type="continuationSeparator" w:id="0">
    <w:p w14:paraId="24813557" w14:textId="77777777" w:rsidR="003B58C7" w:rsidRDefault="003B5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74B98" w14:textId="77777777" w:rsidR="00253618" w:rsidRDefault="00253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10E7A"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874F2" w14:textId="77777777" w:rsidR="00253618" w:rsidRDefault="002536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4501C" w14:textId="77777777" w:rsidR="00C4426F" w:rsidRPr="0051568D" w:rsidRDefault="00C4426F" w:rsidP="0017674D">
    <w:pPr>
      <w:pStyle w:val="Header"/>
    </w:pPr>
    <w:r>
      <w:rPr>
        <w:noProof/>
      </w:rPr>
      <w:drawing>
        <wp:anchor distT="0" distB="0" distL="114300" distR="114300" simplePos="0" relativeHeight="251676160" behindDoc="1" locked="1" layoutInCell="1" allowOverlap="1" wp14:anchorId="733FC395" wp14:editId="703F3332">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Pr="00B92DA4">
      <w:rPr>
        <w:noProof/>
      </w:rPr>
      <w:t xml:space="preserve">Position description – Department of Families, Fairness and Housing </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8683D" w14:textId="43EF2A64" w:rsidR="00E261B3" w:rsidRPr="0051568D" w:rsidRDefault="008C3697" w:rsidP="0011701A">
    <w:pPr>
      <w:pStyle w:val="Header"/>
    </w:pPr>
    <w:r>
      <w:rPr>
        <w:noProof/>
      </w:rPr>
      <w:drawing>
        <wp:anchor distT="0" distB="0" distL="114300" distR="114300" simplePos="0" relativeHeight="251673088" behindDoc="1" locked="1" layoutInCell="1" allowOverlap="1" wp14:anchorId="6870C611" wp14:editId="496B700A">
          <wp:simplePos x="0" y="0"/>
          <wp:positionH relativeFrom="page">
            <wp:posOffset>36830</wp:posOffset>
          </wp:positionH>
          <wp:positionV relativeFrom="page">
            <wp:posOffset>0</wp:posOffset>
          </wp:positionV>
          <wp:extent cx="7523480" cy="269875"/>
          <wp:effectExtent l="0" t="0" r="127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23480" cy="269875"/>
                  </a:xfrm>
                  <a:prstGeom prst="rect">
                    <a:avLst/>
                  </a:prstGeom>
                </pic:spPr>
              </pic:pic>
            </a:graphicData>
          </a:graphic>
          <wp14:sizeRelH relativeFrom="page">
            <wp14:pctWidth>0</wp14:pctWidth>
          </wp14:sizeRelH>
          <wp14:sizeRelV relativeFrom="page">
            <wp14:pctHeight>0</wp14:pctHeight>
          </wp14:sizeRelV>
        </wp:anchor>
      </w:drawing>
    </w:r>
    <w:r w:rsidR="00A92821">
      <w:rPr>
        <w:noProof/>
      </w:rPr>
      <w:t>P</w:t>
    </w:r>
    <w:r w:rsidR="00A92821" w:rsidRPr="00A92821">
      <w:rPr>
        <w:noProof/>
      </w:rPr>
      <w:t>osition description</w:t>
    </w:r>
    <w:r w:rsidR="00A92821">
      <w:rPr>
        <w:noProof/>
      </w:rPr>
      <w:t xml:space="preserve"> – Department of Health</w:t>
    </w:r>
    <w:r>
      <w:ptab w:relativeTo="margin" w:alignment="right" w:leader="none"/>
    </w:r>
    <w:r w:rsidRPr="007E1227">
      <w:rPr>
        <w:b/>
        <w:bCs/>
      </w:rPr>
      <w:fldChar w:fldCharType="begin"/>
    </w:r>
    <w:r w:rsidRPr="007E1227">
      <w:rPr>
        <w:b/>
        <w:bCs/>
      </w:rPr>
      <w:instrText xml:space="preserve"> PAGE </w:instrText>
    </w:r>
    <w:r w:rsidRPr="007E1227">
      <w:rPr>
        <w:b/>
        <w:bCs/>
      </w:rPr>
      <w:fldChar w:fldCharType="separate"/>
    </w:r>
    <w:r w:rsidRPr="007E1227">
      <w:rPr>
        <w:b/>
        <w:bCs/>
      </w:rPr>
      <w:t>3</w:t>
    </w:r>
    <w:r w:rsidRPr="007E122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6145C75"/>
    <w:multiLevelType w:val="multilevel"/>
    <w:tmpl w:val="E3C0D486"/>
    <w:lvl w:ilvl="0">
      <w:start w:val="1"/>
      <w:numFmt w:val="decimal"/>
      <w:lvlText w:val="%1."/>
      <w:lvlJc w:val="left"/>
      <w:pPr>
        <w:tabs>
          <w:tab w:val="num" w:pos="567"/>
        </w:tabs>
        <w:ind w:left="567" w:hanging="567"/>
      </w:pPr>
      <w:rPr>
        <w:rFonts w:cs="Times New Roman" w:hint="default"/>
        <w:color w:val="000000"/>
      </w:rPr>
    </w:lvl>
    <w:lvl w:ilvl="1">
      <w:start w:val="1"/>
      <w:numFmt w:val="decimal"/>
      <w:lvlText w:val="%1.%2."/>
      <w:lvlJc w:val="left"/>
      <w:pPr>
        <w:tabs>
          <w:tab w:val="num" w:pos="1134"/>
        </w:tabs>
        <w:ind w:left="1134" w:hanging="567"/>
      </w:pPr>
      <w:rPr>
        <w:rFonts w:cs="Times New Roman" w:hint="default"/>
      </w:rPr>
    </w:lvl>
    <w:lvl w:ilvl="2">
      <w:start w:val="1"/>
      <w:numFmt w:val="decimal"/>
      <w:lvlText w:val="%1.%2.%3."/>
      <w:lvlJc w:val="left"/>
      <w:pPr>
        <w:tabs>
          <w:tab w:val="num" w:pos="2268"/>
        </w:tabs>
        <w:ind w:left="2268" w:hanging="1134"/>
      </w:pPr>
      <w:rPr>
        <w:rFonts w:cs="Times New Roman" w:hint="default"/>
      </w:rPr>
    </w:lvl>
    <w:lvl w:ilvl="3">
      <w:start w:val="1"/>
      <w:numFmt w:val="decimal"/>
      <w:lvlText w:val="%1.%2.%3.%4."/>
      <w:lvlJc w:val="left"/>
      <w:pPr>
        <w:tabs>
          <w:tab w:val="num" w:pos="2214"/>
        </w:tabs>
        <w:ind w:left="1701" w:hanging="567"/>
      </w:pPr>
      <w:rPr>
        <w:rFonts w:cs="Times New Roman" w:hint="default"/>
      </w:rPr>
    </w:lvl>
    <w:lvl w:ilvl="4">
      <w:start w:val="1"/>
      <w:numFmt w:val="decimal"/>
      <w:lvlText w:val="%1.%2.%3.%4.%5."/>
      <w:lvlJc w:val="left"/>
      <w:pPr>
        <w:tabs>
          <w:tab w:val="num" w:pos="1953"/>
        </w:tabs>
        <w:ind w:left="1665" w:hanging="792"/>
      </w:pPr>
      <w:rPr>
        <w:rFonts w:cs="Times New Roman" w:hint="default"/>
      </w:rPr>
    </w:lvl>
    <w:lvl w:ilvl="5">
      <w:start w:val="1"/>
      <w:numFmt w:val="decimal"/>
      <w:lvlText w:val="%1.%2.%3.%4.%5.%6."/>
      <w:lvlJc w:val="left"/>
      <w:pPr>
        <w:tabs>
          <w:tab w:val="num" w:pos="2313"/>
        </w:tabs>
        <w:ind w:left="2169" w:hanging="936"/>
      </w:pPr>
      <w:rPr>
        <w:rFonts w:cs="Times New Roman" w:hint="default"/>
      </w:rPr>
    </w:lvl>
    <w:lvl w:ilvl="6">
      <w:start w:val="1"/>
      <w:numFmt w:val="decimal"/>
      <w:lvlText w:val="%1.%2.%3.%4.%5.%6.%7."/>
      <w:lvlJc w:val="left"/>
      <w:pPr>
        <w:tabs>
          <w:tab w:val="num" w:pos="3033"/>
        </w:tabs>
        <w:ind w:left="2673" w:hanging="1080"/>
      </w:pPr>
      <w:rPr>
        <w:rFonts w:cs="Times New Roman" w:hint="default"/>
      </w:rPr>
    </w:lvl>
    <w:lvl w:ilvl="7">
      <w:start w:val="1"/>
      <w:numFmt w:val="decimal"/>
      <w:lvlText w:val="%1.%2.%3.%4.%5.%6.%7.%8."/>
      <w:lvlJc w:val="left"/>
      <w:pPr>
        <w:tabs>
          <w:tab w:val="num" w:pos="3393"/>
        </w:tabs>
        <w:ind w:left="3177" w:hanging="1224"/>
      </w:pPr>
      <w:rPr>
        <w:rFonts w:cs="Times New Roman" w:hint="default"/>
      </w:rPr>
    </w:lvl>
    <w:lvl w:ilvl="8">
      <w:start w:val="1"/>
      <w:numFmt w:val="decimal"/>
      <w:lvlText w:val="%1.%2.%3.%4.%5.%6.%7.%8.%9."/>
      <w:lvlJc w:val="left"/>
      <w:pPr>
        <w:tabs>
          <w:tab w:val="num" w:pos="4113"/>
        </w:tabs>
        <w:ind w:left="3753" w:hanging="1440"/>
      </w:pPr>
      <w:rPr>
        <w:rFonts w:cs="Times New Roman" w:hint="default"/>
      </w:r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5B5573B"/>
    <w:multiLevelType w:val="hybridMultilevel"/>
    <w:tmpl w:val="5734F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A23DAC"/>
    <w:multiLevelType w:val="multilevel"/>
    <w:tmpl w:val="8A86A6B0"/>
    <w:styleLink w:val="Bullets"/>
    <w:lvl w:ilvl="0">
      <w:start w:val="1"/>
      <w:numFmt w:val="bullet"/>
      <w:pStyle w:val="DHHSnumberdigi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2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DBB6293"/>
    <w:multiLevelType w:val="hybridMultilevel"/>
    <w:tmpl w:val="B40A5A32"/>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9"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cs="Times New Roman" w:hint="default"/>
      </w:rPr>
    </w:lvl>
    <w:lvl w:ilvl="1">
      <w:start w:val="1"/>
      <w:numFmt w:val="decimal"/>
      <w:lvlRestart w:val="0"/>
      <w:lvlText w:val="%2."/>
      <w:lvlJc w:val="left"/>
      <w:pPr>
        <w:tabs>
          <w:tab w:val="num" w:pos="794"/>
        </w:tabs>
        <w:ind w:left="794" w:hanging="397"/>
      </w:pPr>
      <w:rPr>
        <w:rFonts w:cs="Times New Roman" w:hint="default"/>
      </w:rPr>
    </w:lvl>
    <w:lvl w:ilvl="2">
      <w:start w:val="1"/>
      <w:numFmt w:val="lowerLetter"/>
      <w:lvlRestart w:val="0"/>
      <w:lvlText w:val="(%3)"/>
      <w:lvlJc w:val="left"/>
      <w:pPr>
        <w:tabs>
          <w:tab w:val="num" w:pos="397"/>
        </w:tabs>
        <w:ind w:left="397" w:hanging="397"/>
      </w:pPr>
      <w:rPr>
        <w:rFonts w:cs="Times New Roman" w:hint="default"/>
      </w:rPr>
    </w:lvl>
    <w:lvl w:ilvl="3">
      <w:start w:val="1"/>
      <w:numFmt w:val="lowerLetter"/>
      <w:lvlRestart w:val="0"/>
      <w:lvlText w:val="(%4)"/>
      <w:lvlJc w:val="left"/>
      <w:pPr>
        <w:tabs>
          <w:tab w:val="num" w:pos="794"/>
        </w:tabs>
        <w:ind w:left="794" w:hanging="397"/>
      </w:pPr>
      <w:rPr>
        <w:rFonts w:cs="Times New Roman" w:hint="default"/>
      </w:rPr>
    </w:lvl>
    <w:lvl w:ilvl="4">
      <w:start w:val="1"/>
      <w:numFmt w:val="lowerRoman"/>
      <w:lvlRestart w:val="0"/>
      <w:lvlText w:val="(%5)"/>
      <w:lvlJc w:val="left"/>
      <w:pPr>
        <w:tabs>
          <w:tab w:val="num" w:pos="397"/>
        </w:tabs>
        <w:ind w:left="397" w:hanging="397"/>
      </w:pPr>
      <w:rPr>
        <w:rFonts w:cs="Times New Roman" w:hint="default"/>
      </w:rPr>
    </w:lvl>
    <w:lvl w:ilvl="5">
      <w:start w:val="1"/>
      <w:numFmt w:val="lowerRoman"/>
      <w:lvlRestart w:val="0"/>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4969552">
    <w:abstractNumId w:val="10"/>
  </w:num>
  <w:num w:numId="2" w16cid:durableId="50543230">
    <w:abstractNumId w:val="19"/>
  </w:num>
  <w:num w:numId="3" w16cid:durableId="3475597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42812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67720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19160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5581949">
    <w:abstractNumId w:val="24"/>
  </w:num>
  <w:num w:numId="8" w16cid:durableId="526606479">
    <w:abstractNumId w:val="18"/>
  </w:num>
  <w:num w:numId="9" w16cid:durableId="2039041451">
    <w:abstractNumId w:val="23"/>
  </w:num>
  <w:num w:numId="10" w16cid:durableId="5301892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4203073">
    <w:abstractNumId w:val="25"/>
  </w:num>
  <w:num w:numId="12" w16cid:durableId="4520993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1959693">
    <w:abstractNumId w:val="20"/>
  </w:num>
  <w:num w:numId="14" w16cid:durableId="20218577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32968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85998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84955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7051983">
    <w:abstractNumId w:val="27"/>
  </w:num>
  <w:num w:numId="19" w16cid:durableId="20077793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5936311">
    <w:abstractNumId w:val="15"/>
  </w:num>
  <w:num w:numId="21" w16cid:durableId="440883766">
    <w:abstractNumId w:val="12"/>
  </w:num>
  <w:num w:numId="22" w16cid:durableId="3605207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0275204">
    <w:abstractNumId w:val="16"/>
  </w:num>
  <w:num w:numId="24" w16cid:durableId="1976179570">
    <w:abstractNumId w:val="30"/>
  </w:num>
  <w:num w:numId="25" w16cid:durableId="2040814346">
    <w:abstractNumId w:val="26"/>
  </w:num>
  <w:num w:numId="26" w16cid:durableId="581791731">
    <w:abstractNumId w:val="21"/>
  </w:num>
  <w:num w:numId="27" w16cid:durableId="1800951801">
    <w:abstractNumId w:val="11"/>
  </w:num>
  <w:num w:numId="28" w16cid:durableId="1079600727">
    <w:abstractNumId w:val="31"/>
  </w:num>
  <w:num w:numId="29" w16cid:durableId="889002349">
    <w:abstractNumId w:val="9"/>
  </w:num>
  <w:num w:numId="30" w16cid:durableId="1880780338">
    <w:abstractNumId w:val="7"/>
  </w:num>
  <w:num w:numId="31" w16cid:durableId="982780902">
    <w:abstractNumId w:val="6"/>
  </w:num>
  <w:num w:numId="32" w16cid:durableId="784887686">
    <w:abstractNumId w:val="5"/>
  </w:num>
  <w:num w:numId="33" w16cid:durableId="2031641748">
    <w:abstractNumId w:val="4"/>
  </w:num>
  <w:num w:numId="34" w16cid:durableId="1580093625">
    <w:abstractNumId w:val="8"/>
  </w:num>
  <w:num w:numId="35" w16cid:durableId="891500510">
    <w:abstractNumId w:val="3"/>
  </w:num>
  <w:num w:numId="36" w16cid:durableId="1855802202">
    <w:abstractNumId w:val="2"/>
  </w:num>
  <w:num w:numId="37" w16cid:durableId="674377868">
    <w:abstractNumId w:val="1"/>
  </w:num>
  <w:num w:numId="38" w16cid:durableId="466894875">
    <w:abstractNumId w:val="0"/>
  </w:num>
  <w:num w:numId="39" w16cid:durableId="8111443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643360">
    <w:abstractNumId w:val="13"/>
  </w:num>
  <w:num w:numId="41" w16cid:durableId="821048901">
    <w:abstractNumId w:val="29"/>
  </w:num>
  <w:num w:numId="42" w16cid:durableId="990334269">
    <w:abstractNumId w:val="22"/>
  </w:num>
  <w:num w:numId="43" w16cid:durableId="2104496892">
    <w:abstractNumId w:val="28"/>
  </w:num>
  <w:num w:numId="44" w16cid:durableId="114561897">
    <w:abstractNumId w:val="17"/>
  </w:num>
  <w:num w:numId="45" w16cid:durableId="18938790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26F"/>
    <w:rsid w:val="00000719"/>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2CA1"/>
    <w:rsid w:val="000663CD"/>
    <w:rsid w:val="00067AA4"/>
    <w:rsid w:val="00071238"/>
    <w:rsid w:val="000733FE"/>
    <w:rsid w:val="00074219"/>
    <w:rsid w:val="00074ED5"/>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56E1"/>
    <w:rsid w:val="0010714F"/>
    <w:rsid w:val="001078C9"/>
    <w:rsid w:val="001120C5"/>
    <w:rsid w:val="0011695F"/>
    <w:rsid w:val="0011701A"/>
    <w:rsid w:val="00120BD3"/>
    <w:rsid w:val="00122FEA"/>
    <w:rsid w:val="001232BD"/>
    <w:rsid w:val="00124ED5"/>
    <w:rsid w:val="001276FA"/>
    <w:rsid w:val="0014255B"/>
    <w:rsid w:val="001447B3"/>
    <w:rsid w:val="001517BE"/>
    <w:rsid w:val="00152073"/>
    <w:rsid w:val="00154E2D"/>
    <w:rsid w:val="00156598"/>
    <w:rsid w:val="0015664C"/>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8727D"/>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60EC"/>
    <w:rsid w:val="001D6F59"/>
    <w:rsid w:val="001E0C5D"/>
    <w:rsid w:val="001E2A36"/>
    <w:rsid w:val="001E44DF"/>
    <w:rsid w:val="001E68A5"/>
    <w:rsid w:val="001E6BB0"/>
    <w:rsid w:val="001E7282"/>
    <w:rsid w:val="001F3826"/>
    <w:rsid w:val="001F6E46"/>
    <w:rsid w:val="001F7C91"/>
    <w:rsid w:val="002033B7"/>
    <w:rsid w:val="00206463"/>
    <w:rsid w:val="00206F2F"/>
    <w:rsid w:val="0021053D"/>
    <w:rsid w:val="00210A92"/>
    <w:rsid w:val="00216C03"/>
    <w:rsid w:val="00220C04"/>
    <w:rsid w:val="0022278D"/>
    <w:rsid w:val="00222ABE"/>
    <w:rsid w:val="0022701F"/>
    <w:rsid w:val="00227C68"/>
    <w:rsid w:val="002333F5"/>
    <w:rsid w:val="00233724"/>
    <w:rsid w:val="002365B4"/>
    <w:rsid w:val="002432E1"/>
    <w:rsid w:val="00246207"/>
    <w:rsid w:val="00246C5E"/>
    <w:rsid w:val="00250960"/>
    <w:rsid w:val="00251343"/>
    <w:rsid w:val="00253618"/>
    <w:rsid w:val="002536A4"/>
    <w:rsid w:val="00254F58"/>
    <w:rsid w:val="002620BC"/>
    <w:rsid w:val="00262802"/>
    <w:rsid w:val="00263A90"/>
    <w:rsid w:val="00263C1F"/>
    <w:rsid w:val="0026408B"/>
    <w:rsid w:val="00267C3E"/>
    <w:rsid w:val="002709BB"/>
    <w:rsid w:val="0027113F"/>
    <w:rsid w:val="00272C0B"/>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667E"/>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1C8"/>
    <w:rsid w:val="00322E4B"/>
    <w:rsid w:val="00327870"/>
    <w:rsid w:val="0033259D"/>
    <w:rsid w:val="003333D2"/>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5E6"/>
    <w:rsid w:val="003B408A"/>
    <w:rsid w:val="003B5733"/>
    <w:rsid w:val="003B58C7"/>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396C"/>
    <w:rsid w:val="00403ACB"/>
    <w:rsid w:val="00406285"/>
    <w:rsid w:val="004148F9"/>
    <w:rsid w:val="00414D4A"/>
    <w:rsid w:val="0042084E"/>
    <w:rsid w:val="00421EEF"/>
    <w:rsid w:val="00424D65"/>
    <w:rsid w:val="004253D6"/>
    <w:rsid w:val="0044085E"/>
    <w:rsid w:val="00442C6C"/>
    <w:rsid w:val="00443CBE"/>
    <w:rsid w:val="00443E8A"/>
    <w:rsid w:val="004441BC"/>
    <w:rsid w:val="004468B4"/>
    <w:rsid w:val="0045230A"/>
    <w:rsid w:val="00454AD0"/>
    <w:rsid w:val="00456C87"/>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499"/>
    <w:rsid w:val="00543903"/>
    <w:rsid w:val="00543F11"/>
    <w:rsid w:val="00546305"/>
    <w:rsid w:val="00547A95"/>
    <w:rsid w:val="0055119B"/>
    <w:rsid w:val="00553B61"/>
    <w:rsid w:val="005548B5"/>
    <w:rsid w:val="00572031"/>
    <w:rsid w:val="00572282"/>
    <w:rsid w:val="00573CE3"/>
    <w:rsid w:val="00576E84"/>
    <w:rsid w:val="00580394"/>
    <w:rsid w:val="005809CD"/>
    <w:rsid w:val="00582B8C"/>
    <w:rsid w:val="00583374"/>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2A78"/>
    <w:rsid w:val="005D6597"/>
    <w:rsid w:val="005E14E7"/>
    <w:rsid w:val="005E26A3"/>
    <w:rsid w:val="005E2ECB"/>
    <w:rsid w:val="005E447E"/>
    <w:rsid w:val="005E4FD1"/>
    <w:rsid w:val="005E71DF"/>
    <w:rsid w:val="005F0775"/>
    <w:rsid w:val="005F0CF5"/>
    <w:rsid w:val="005F21EB"/>
    <w:rsid w:val="00605908"/>
    <w:rsid w:val="006100B6"/>
    <w:rsid w:val="00610474"/>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5DD4"/>
    <w:rsid w:val="00696F27"/>
    <w:rsid w:val="006A18C2"/>
    <w:rsid w:val="006A3383"/>
    <w:rsid w:val="006B077C"/>
    <w:rsid w:val="006B6803"/>
    <w:rsid w:val="006C797E"/>
    <w:rsid w:val="006D0F16"/>
    <w:rsid w:val="006D2A3F"/>
    <w:rsid w:val="006D2FBC"/>
    <w:rsid w:val="006E0541"/>
    <w:rsid w:val="006E138B"/>
    <w:rsid w:val="006E2B3B"/>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47DA"/>
    <w:rsid w:val="007450F8"/>
    <w:rsid w:val="0074696E"/>
    <w:rsid w:val="00750135"/>
    <w:rsid w:val="00750EC2"/>
    <w:rsid w:val="00752B28"/>
    <w:rsid w:val="007541A9"/>
    <w:rsid w:val="00754E36"/>
    <w:rsid w:val="00754F25"/>
    <w:rsid w:val="00763139"/>
    <w:rsid w:val="00770F37"/>
    <w:rsid w:val="007711A0"/>
    <w:rsid w:val="00772D5E"/>
    <w:rsid w:val="0077463E"/>
    <w:rsid w:val="00775964"/>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0D6C"/>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2717B"/>
    <w:rsid w:val="008338A2"/>
    <w:rsid w:val="00835FAF"/>
    <w:rsid w:val="00841AA9"/>
    <w:rsid w:val="00843B36"/>
    <w:rsid w:val="008474FE"/>
    <w:rsid w:val="00853EE4"/>
    <w:rsid w:val="00855535"/>
    <w:rsid w:val="00857C5A"/>
    <w:rsid w:val="0086255E"/>
    <w:rsid w:val="008633F0"/>
    <w:rsid w:val="00867D9D"/>
    <w:rsid w:val="00872E0A"/>
    <w:rsid w:val="00873594"/>
    <w:rsid w:val="00875285"/>
    <w:rsid w:val="00881753"/>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3C14"/>
    <w:rsid w:val="009742DF"/>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2C4C"/>
    <w:rsid w:val="009C5E77"/>
    <w:rsid w:val="009C7A7E"/>
    <w:rsid w:val="009D02E8"/>
    <w:rsid w:val="009D51D0"/>
    <w:rsid w:val="009D70A4"/>
    <w:rsid w:val="009D7B14"/>
    <w:rsid w:val="009E08D1"/>
    <w:rsid w:val="009E1B95"/>
    <w:rsid w:val="009E496F"/>
    <w:rsid w:val="009E4B0D"/>
    <w:rsid w:val="009E5250"/>
    <w:rsid w:val="009E6BB7"/>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4372"/>
    <w:rsid w:val="00A157B1"/>
    <w:rsid w:val="00A22229"/>
    <w:rsid w:val="00A24442"/>
    <w:rsid w:val="00A330BB"/>
    <w:rsid w:val="00A44882"/>
    <w:rsid w:val="00A45125"/>
    <w:rsid w:val="00A5083B"/>
    <w:rsid w:val="00A54715"/>
    <w:rsid w:val="00A6061C"/>
    <w:rsid w:val="00A62D44"/>
    <w:rsid w:val="00A67263"/>
    <w:rsid w:val="00A7161C"/>
    <w:rsid w:val="00A77AA3"/>
    <w:rsid w:val="00A8236D"/>
    <w:rsid w:val="00A854EB"/>
    <w:rsid w:val="00A872E5"/>
    <w:rsid w:val="00A91406"/>
    <w:rsid w:val="00A92821"/>
    <w:rsid w:val="00A96E65"/>
    <w:rsid w:val="00A97C72"/>
    <w:rsid w:val="00AA268E"/>
    <w:rsid w:val="00AA310B"/>
    <w:rsid w:val="00AA63D4"/>
    <w:rsid w:val="00AB06E8"/>
    <w:rsid w:val="00AB1CD3"/>
    <w:rsid w:val="00AB352F"/>
    <w:rsid w:val="00AC274B"/>
    <w:rsid w:val="00AC4764"/>
    <w:rsid w:val="00AC6D36"/>
    <w:rsid w:val="00AD0CBA"/>
    <w:rsid w:val="00AD1027"/>
    <w:rsid w:val="00AD177A"/>
    <w:rsid w:val="00AD26E2"/>
    <w:rsid w:val="00AD784C"/>
    <w:rsid w:val="00AE126A"/>
    <w:rsid w:val="00AE1BAE"/>
    <w:rsid w:val="00AE3005"/>
    <w:rsid w:val="00AE3BD5"/>
    <w:rsid w:val="00AE59A0"/>
    <w:rsid w:val="00AF0C57"/>
    <w:rsid w:val="00AF26F3"/>
    <w:rsid w:val="00AF5F04"/>
    <w:rsid w:val="00B00672"/>
    <w:rsid w:val="00B01B4D"/>
    <w:rsid w:val="00B0403B"/>
    <w:rsid w:val="00B06571"/>
    <w:rsid w:val="00B068BA"/>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3315"/>
    <w:rsid w:val="00B45141"/>
    <w:rsid w:val="00B4648C"/>
    <w:rsid w:val="00B46DE7"/>
    <w:rsid w:val="00B519CD"/>
    <w:rsid w:val="00B5273A"/>
    <w:rsid w:val="00B57329"/>
    <w:rsid w:val="00B60E61"/>
    <w:rsid w:val="00B62B50"/>
    <w:rsid w:val="00B635B7"/>
    <w:rsid w:val="00B63AE8"/>
    <w:rsid w:val="00B65950"/>
    <w:rsid w:val="00B66D83"/>
    <w:rsid w:val="00B672C0"/>
    <w:rsid w:val="00B676FD"/>
    <w:rsid w:val="00B75646"/>
    <w:rsid w:val="00B75D5B"/>
    <w:rsid w:val="00B90729"/>
    <w:rsid w:val="00B907DA"/>
    <w:rsid w:val="00B950BC"/>
    <w:rsid w:val="00B9714C"/>
    <w:rsid w:val="00BA29AD"/>
    <w:rsid w:val="00BA33CF"/>
    <w:rsid w:val="00BA3F8D"/>
    <w:rsid w:val="00BB7A10"/>
    <w:rsid w:val="00BC3E8F"/>
    <w:rsid w:val="00BC60BE"/>
    <w:rsid w:val="00BC6FDC"/>
    <w:rsid w:val="00BC7468"/>
    <w:rsid w:val="00BC7D4F"/>
    <w:rsid w:val="00BC7ED7"/>
    <w:rsid w:val="00BD2850"/>
    <w:rsid w:val="00BE28D2"/>
    <w:rsid w:val="00BE4A64"/>
    <w:rsid w:val="00BE5E43"/>
    <w:rsid w:val="00BF2E28"/>
    <w:rsid w:val="00BF557D"/>
    <w:rsid w:val="00BF7F58"/>
    <w:rsid w:val="00C01381"/>
    <w:rsid w:val="00C01AB1"/>
    <w:rsid w:val="00C026A0"/>
    <w:rsid w:val="00C06137"/>
    <w:rsid w:val="00C079B8"/>
    <w:rsid w:val="00C10037"/>
    <w:rsid w:val="00C123EA"/>
    <w:rsid w:val="00C12A49"/>
    <w:rsid w:val="00C133EE"/>
    <w:rsid w:val="00C14627"/>
    <w:rsid w:val="00C149D0"/>
    <w:rsid w:val="00C17353"/>
    <w:rsid w:val="00C26588"/>
    <w:rsid w:val="00C27DE9"/>
    <w:rsid w:val="00C32989"/>
    <w:rsid w:val="00C33388"/>
    <w:rsid w:val="00C35484"/>
    <w:rsid w:val="00C36EBA"/>
    <w:rsid w:val="00C40477"/>
    <w:rsid w:val="00C4173A"/>
    <w:rsid w:val="00C42B9B"/>
    <w:rsid w:val="00C4426F"/>
    <w:rsid w:val="00C50DED"/>
    <w:rsid w:val="00C602FF"/>
    <w:rsid w:val="00C61174"/>
    <w:rsid w:val="00C6148F"/>
    <w:rsid w:val="00C621B1"/>
    <w:rsid w:val="00C62F7A"/>
    <w:rsid w:val="00C63B9C"/>
    <w:rsid w:val="00C658D9"/>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3783"/>
    <w:rsid w:val="00CB4500"/>
    <w:rsid w:val="00CB7800"/>
    <w:rsid w:val="00CC0C72"/>
    <w:rsid w:val="00CC2BFD"/>
    <w:rsid w:val="00CD3476"/>
    <w:rsid w:val="00CD52E7"/>
    <w:rsid w:val="00CD64DF"/>
    <w:rsid w:val="00CE225F"/>
    <w:rsid w:val="00CF2F50"/>
    <w:rsid w:val="00CF6198"/>
    <w:rsid w:val="00CF7C49"/>
    <w:rsid w:val="00D02919"/>
    <w:rsid w:val="00D04C61"/>
    <w:rsid w:val="00D05B8D"/>
    <w:rsid w:val="00D065A2"/>
    <w:rsid w:val="00D079AA"/>
    <w:rsid w:val="00D07F00"/>
    <w:rsid w:val="00D1130F"/>
    <w:rsid w:val="00D11C6D"/>
    <w:rsid w:val="00D154E0"/>
    <w:rsid w:val="00D17B72"/>
    <w:rsid w:val="00D20839"/>
    <w:rsid w:val="00D3185C"/>
    <w:rsid w:val="00D3205F"/>
    <w:rsid w:val="00D3318E"/>
    <w:rsid w:val="00D33E72"/>
    <w:rsid w:val="00D35BD6"/>
    <w:rsid w:val="00D361B5"/>
    <w:rsid w:val="00D370C2"/>
    <w:rsid w:val="00D411A2"/>
    <w:rsid w:val="00D4606D"/>
    <w:rsid w:val="00D46C92"/>
    <w:rsid w:val="00D50B9C"/>
    <w:rsid w:val="00D52D73"/>
    <w:rsid w:val="00D52E58"/>
    <w:rsid w:val="00D56B20"/>
    <w:rsid w:val="00D578B3"/>
    <w:rsid w:val="00D618F4"/>
    <w:rsid w:val="00D714CC"/>
    <w:rsid w:val="00D75EA7"/>
    <w:rsid w:val="00D81ADF"/>
    <w:rsid w:val="00D81F21"/>
    <w:rsid w:val="00D85AE5"/>
    <w:rsid w:val="00D864F2"/>
    <w:rsid w:val="00D916E4"/>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06F01"/>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4769"/>
    <w:rsid w:val="00FB4CDA"/>
    <w:rsid w:val="00FB6481"/>
    <w:rsid w:val="00FB6D36"/>
    <w:rsid w:val="00FC0965"/>
    <w:rsid w:val="00FC0F81"/>
    <w:rsid w:val="00FC252F"/>
    <w:rsid w:val="00FC395C"/>
    <w:rsid w:val="00FC54D0"/>
    <w:rsid w:val="00FC5E8E"/>
    <w:rsid w:val="00FD3766"/>
    <w:rsid w:val="00FD47C4"/>
    <w:rsid w:val="00FD722A"/>
    <w:rsid w:val="00FE2DCF"/>
    <w:rsid w:val="00FE3FA7"/>
    <w:rsid w:val="00FF2A4E"/>
    <w:rsid w:val="00FF2FCE"/>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B22B83"/>
  <w15:docId w15:val="{C37E924F-5990-4826-BE41-183AF55A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C4426F"/>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610474"/>
    <w:pPr>
      <w:spacing w:after="120" w:line="280" w:lineRule="atLeast"/>
      <w:jc w:val="both"/>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C3697"/>
    <w:pPr>
      <w:spacing w:after="300" w:line="240" w:lineRule="auto"/>
    </w:pPr>
    <w:rPr>
      <w:rFonts w:cs="Arial"/>
      <w:color w:val="53565A"/>
      <w:sz w:val="20"/>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link w:val="TabletextChar"/>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61047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styleId="NormalWeb">
    <w:name w:val="Normal (Web)"/>
    <w:basedOn w:val="Normal"/>
    <w:uiPriority w:val="99"/>
    <w:semiHidden/>
    <w:unhideWhenUsed/>
    <w:rsid w:val="00C4426F"/>
    <w:pPr>
      <w:spacing w:before="100" w:beforeAutospacing="1" w:after="100" w:afterAutospacing="1" w:line="240" w:lineRule="auto"/>
    </w:pPr>
    <w:rPr>
      <w:rFonts w:ascii="Times New Roman" w:hAnsi="Times New Roman"/>
      <w:sz w:val="24"/>
      <w:szCs w:val="24"/>
      <w:lang w:eastAsia="en-AU"/>
    </w:rPr>
  </w:style>
  <w:style w:type="paragraph" w:customStyle="1" w:styleId="DHHSbody">
    <w:name w:val="DHHS body"/>
    <w:qFormat/>
    <w:rsid w:val="00062CA1"/>
    <w:pPr>
      <w:spacing w:after="120" w:line="270" w:lineRule="atLeast"/>
    </w:pPr>
    <w:rPr>
      <w:rFonts w:ascii="Arial" w:hAnsi="Arial"/>
      <w:lang w:eastAsia="en-US"/>
    </w:rPr>
  </w:style>
  <w:style w:type="paragraph" w:customStyle="1" w:styleId="DHSNumberingOutline">
    <w:name w:val="DHS Numbering Outline"/>
    <w:basedOn w:val="Normal"/>
    <w:next w:val="Normal"/>
    <w:link w:val="DHSNumberingOutlineChar"/>
    <w:rsid w:val="00062CA1"/>
    <w:pPr>
      <w:widowControl w:val="0"/>
      <w:overflowPunct w:val="0"/>
      <w:autoSpaceDE w:val="0"/>
      <w:autoSpaceDN w:val="0"/>
      <w:adjustRightInd w:val="0"/>
      <w:spacing w:before="120" w:line="240" w:lineRule="exact"/>
      <w:ind w:left="680" w:hanging="283"/>
      <w:textAlignment w:val="baseline"/>
    </w:pPr>
    <w:rPr>
      <w:sz w:val="20"/>
      <w:lang w:val="x-none"/>
    </w:rPr>
  </w:style>
  <w:style w:type="character" w:customStyle="1" w:styleId="DHSNumberingOutlineChar">
    <w:name w:val="DHS Numbering Outline Char"/>
    <w:link w:val="DHSNumberingOutline"/>
    <w:locked/>
    <w:rsid w:val="00062CA1"/>
    <w:rPr>
      <w:rFonts w:ascii="Arial" w:hAnsi="Arial"/>
      <w:lang w:val="x-none" w:eastAsia="en-US"/>
    </w:rPr>
  </w:style>
  <w:style w:type="paragraph" w:customStyle="1" w:styleId="DHHSnumberdigit">
    <w:name w:val="DHHS number digit"/>
    <w:basedOn w:val="DHHSbody"/>
    <w:uiPriority w:val="4"/>
    <w:rsid w:val="00D916E4"/>
    <w:pPr>
      <w:numPr>
        <w:numId w:val="42"/>
      </w:numPr>
    </w:pPr>
  </w:style>
  <w:style w:type="numbering" w:customStyle="1" w:styleId="Bullets">
    <w:name w:val="Bullets"/>
    <w:rsid w:val="00D916E4"/>
    <w:pPr>
      <w:numPr>
        <w:numId w:val="42"/>
      </w:numPr>
    </w:pPr>
  </w:style>
  <w:style w:type="numbering" w:customStyle="1" w:styleId="Numbers">
    <w:name w:val="Numbers"/>
    <w:rsid w:val="00D916E4"/>
    <w:pPr>
      <w:numPr>
        <w:numId w:val="41"/>
      </w:numPr>
    </w:pPr>
  </w:style>
  <w:style w:type="character" w:customStyle="1" w:styleId="TabletextChar">
    <w:name w:val="Table text Char"/>
    <w:link w:val="Tabletext"/>
    <w:rsid w:val="00D11C6D"/>
    <w:rPr>
      <w:rFonts w:ascii="Arial" w:hAnsi="Arial"/>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39447073">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16779157">
      <w:bodyDiv w:val="1"/>
      <w:marLeft w:val="0"/>
      <w:marRight w:val="0"/>
      <w:marTop w:val="0"/>
      <w:marBottom w:val="0"/>
      <w:divBdr>
        <w:top w:val="none" w:sz="0" w:space="0" w:color="auto"/>
        <w:left w:val="none" w:sz="0" w:space="0" w:color="auto"/>
        <w:bottom w:val="none" w:sz="0" w:space="0" w:color="auto"/>
        <w:right w:val="none" w:sz="0" w:space="0" w:color="auto"/>
      </w:divBdr>
      <w:divsChild>
        <w:div w:id="203056772">
          <w:marLeft w:val="0"/>
          <w:marRight w:val="0"/>
          <w:marTop w:val="0"/>
          <w:marBottom w:val="0"/>
          <w:divBdr>
            <w:top w:val="none" w:sz="0" w:space="0" w:color="auto"/>
            <w:left w:val="none" w:sz="0" w:space="0" w:color="auto"/>
            <w:bottom w:val="none" w:sz="0" w:space="0" w:color="auto"/>
            <w:right w:val="none" w:sz="0" w:space="0" w:color="auto"/>
          </w:divBdr>
          <w:divsChild>
            <w:div w:id="902301470">
              <w:marLeft w:val="0"/>
              <w:marRight w:val="0"/>
              <w:marTop w:val="0"/>
              <w:marBottom w:val="0"/>
              <w:divBdr>
                <w:top w:val="none" w:sz="0" w:space="0" w:color="auto"/>
                <w:left w:val="none" w:sz="0" w:space="0" w:color="auto"/>
                <w:bottom w:val="none" w:sz="0" w:space="0" w:color="auto"/>
                <w:right w:val="none" w:sz="0" w:space="0" w:color="auto"/>
              </w:divBdr>
              <w:divsChild>
                <w:div w:id="734818633">
                  <w:marLeft w:val="0"/>
                  <w:marRight w:val="0"/>
                  <w:marTop w:val="0"/>
                  <w:marBottom w:val="0"/>
                  <w:divBdr>
                    <w:top w:val="none" w:sz="0" w:space="0" w:color="auto"/>
                    <w:left w:val="none" w:sz="0" w:space="0" w:color="auto"/>
                    <w:bottom w:val="none" w:sz="0" w:space="0" w:color="auto"/>
                    <w:right w:val="none" w:sz="0" w:space="0" w:color="auto"/>
                  </w:divBdr>
                  <w:divsChild>
                    <w:div w:id="1988167308">
                      <w:marLeft w:val="0"/>
                      <w:marRight w:val="0"/>
                      <w:marTop w:val="0"/>
                      <w:marBottom w:val="0"/>
                      <w:divBdr>
                        <w:top w:val="none" w:sz="0" w:space="0" w:color="auto"/>
                        <w:left w:val="none" w:sz="0" w:space="0" w:color="auto"/>
                        <w:bottom w:val="none" w:sz="0" w:space="0" w:color="auto"/>
                        <w:right w:val="none" w:sz="0" w:space="0" w:color="auto"/>
                      </w:divBdr>
                      <w:divsChild>
                        <w:div w:id="971860442">
                          <w:marLeft w:val="0"/>
                          <w:marRight w:val="0"/>
                          <w:marTop w:val="0"/>
                          <w:marBottom w:val="0"/>
                          <w:divBdr>
                            <w:top w:val="none" w:sz="0" w:space="0" w:color="auto"/>
                            <w:left w:val="none" w:sz="0" w:space="0" w:color="auto"/>
                            <w:bottom w:val="none" w:sz="0" w:space="0" w:color="auto"/>
                            <w:right w:val="none" w:sz="0" w:space="0" w:color="auto"/>
                          </w:divBdr>
                          <w:divsChild>
                            <w:div w:id="362748184">
                              <w:marLeft w:val="0"/>
                              <w:marRight w:val="0"/>
                              <w:marTop w:val="0"/>
                              <w:marBottom w:val="0"/>
                              <w:divBdr>
                                <w:top w:val="none" w:sz="0" w:space="0" w:color="auto"/>
                                <w:left w:val="none" w:sz="0" w:space="0" w:color="auto"/>
                                <w:bottom w:val="none" w:sz="0" w:space="0" w:color="auto"/>
                                <w:right w:val="none" w:sz="0" w:space="0" w:color="auto"/>
                              </w:divBdr>
                              <w:divsChild>
                                <w:div w:id="1592926941">
                                  <w:marLeft w:val="0"/>
                                  <w:marRight w:val="0"/>
                                  <w:marTop w:val="0"/>
                                  <w:marBottom w:val="0"/>
                                  <w:divBdr>
                                    <w:top w:val="none" w:sz="0" w:space="0" w:color="auto"/>
                                    <w:left w:val="none" w:sz="0" w:space="0" w:color="auto"/>
                                    <w:bottom w:val="none" w:sz="0" w:space="0" w:color="auto"/>
                                    <w:right w:val="none" w:sz="0" w:space="0" w:color="auto"/>
                                  </w:divBdr>
                                  <w:divsChild>
                                    <w:div w:id="2040232534">
                                      <w:marLeft w:val="0"/>
                                      <w:marRight w:val="0"/>
                                      <w:marTop w:val="0"/>
                                      <w:marBottom w:val="0"/>
                                      <w:divBdr>
                                        <w:top w:val="none" w:sz="0" w:space="0" w:color="auto"/>
                                        <w:left w:val="none" w:sz="0" w:space="0" w:color="auto"/>
                                        <w:bottom w:val="none" w:sz="0" w:space="0" w:color="auto"/>
                                        <w:right w:val="none" w:sz="0" w:space="0" w:color="auto"/>
                                      </w:divBdr>
                                      <w:divsChild>
                                        <w:div w:id="1364791340">
                                          <w:marLeft w:val="0"/>
                                          <w:marRight w:val="0"/>
                                          <w:marTop w:val="0"/>
                                          <w:marBottom w:val="0"/>
                                          <w:divBdr>
                                            <w:top w:val="none" w:sz="0" w:space="0" w:color="auto"/>
                                            <w:left w:val="none" w:sz="0" w:space="0" w:color="auto"/>
                                            <w:bottom w:val="none" w:sz="0" w:space="0" w:color="auto"/>
                                            <w:right w:val="none" w:sz="0" w:space="0" w:color="auto"/>
                                          </w:divBdr>
                                          <w:divsChild>
                                            <w:div w:id="1341422269">
                                              <w:marLeft w:val="0"/>
                                              <w:marRight w:val="0"/>
                                              <w:marTop w:val="0"/>
                                              <w:marBottom w:val="0"/>
                                              <w:divBdr>
                                                <w:top w:val="none" w:sz="0" w:space="0" w:color="auto"/>
                                                <w:left w:val="none" w:sz="0" w:space="0" w:color="auto"/>
                                                <w:bottom w:val="none" w:sz="0" w:space="0" w:color="auto"/>
                                                <w:right w:val="none" w:sz="0" w:space="0" w:color="auto"/>
                                              </w:divBdr>
                                              <w:divsChild>
                                                <w:div w:id="7347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ic.gov.au/health/about-u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dtf.vic.gov.au/ho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jse.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careers.vic.gov.au/" TargetMode="External"/><Relationship Id="rId10" Type="http://schemas.openxmlformats.org/officeDocument/2006/relationships/endnotes" Target="endnotes.xml"/><Relationship Id="rId19" Type="http://schemas.openxmlformats.org/officeDocument/2006/relationships/hyperlink" Target="https://www.health.vic.gov.au/clinical-trials-and-research/department-of-health-human-research-ethics-committ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careers@dhhs.vic.gov.au"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94A5D6811799A43856DF1997E9B00A7" ma:contentTypeVersion="14" ma:contentTypeDescription="Create a new document." ma:contentTypeScope="" ma:versionID="c90f4b1695317fa60636fb41e346bf45">
  <xsd:schema xmlns:xsd="http://www.w3.org/2001/XMLSchema" xmlns:xs="http://www.w3.org/2001/XMLSchema" xmlns:p="http://schemas.microsoft.com/office/2006/metadata/properties" xmlns:ns2="2046da13-490f-4d5a-bbb1-91bf5417941d" xmlns:ns3="c52bcc0e-5fbb-4f20-b4bb-65cb65f6439b" targetNamespace="http://schemas.microsoft.com/office/2006/metadata/properties" ma:root="true" ma:fieldsID="62631d576c26a6b6ab56c89a755ad1fd" ns2:_="" ns3:_="">
    <xsd:import namespace="2046da13-490f-4d5a-bbb1-91bf5417941d"/>
    <xsd:import namespace="c52bcc0e-5fbb-4f20-b4bb-65cb65f643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6da13-490f-4d5a-bbb1-91bf54179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bcc0e-5fbb-4f20-b4bb-65cb65f643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CD5FF4-771A-4F4B-A2C8-02EA7F6AD5A5}">
  <ds:schemaRefs>
    <ds:schemaRef ds:uri="http://schemas.openxmlformats.org/officeDocument/2006/bibliography"/>
  </ds:schemaRefs>
</ds:datastoreItem>
</file>

<file path=customXml/itemProps4.xml><?xml version="1.0" encoding="utf-8"?>
<ds:datastoreItem xmlns:ds="http://schemas.openxmlformats.org/officeDocument/2006/customXml" ds:itemID="{B2CCCA14-4B12-4105-8CE2-C9B2FC126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6da13-490f-4d5a-bbb1-91bf5417941d"/>
    <ds:schemaRef ds:uri="c52bcc0e-5fbb-4f20-b4bb-65cb65f64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1660</Words>
  <Characters>10835</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Position description - Department of Health</vt:lpstr>
    </vt:vector>
  </TitlesOfParts>
  <Company>Victoria State Government, Department of Health</Company>
  <LinksUpToDate>false</LinksUpToDate>
  <CharactersWithSpaces>12471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Department of Health</dc:title>
  <dc:subject>Position description</dc:subject>
  <dc:creator>People and Culture</dc:creator>
  <cp:keywords>DH; Department of Health; position description; PD</cp:keywords>
  <cp:lastModifiedBy>Bridget Radford (Health)</cp:lastModifiedBy>
  <cp:revision>46</cp:revision>
  <cp:lastPrinted>2020-03-30T03:28:00Z</cp:lastPrinted>
  <dcterms:created xsi:type="dcterms:W3CDTF">2023-07-19T02:09:00Z</dcterms:created>
  <dcterms:modified xsi:type="dcterms:W3CDTF">2023-07-19T03:14:00Z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0x010100E94A5D6811799A43856DF1997E9B00A7</vt:lpwstr>
  </property>
  <property fmtid="{D5CDD505-2E9C-101B-9397-08002B2CF9AE}" pid="4" name="version">
    <vt:lpwstr>22 October 2020</vt:lpwstr>
  </property>
  <property fmtid="{D5CDD505-2E9C-101B-9397-08002B2CF9AE}" pid="5" name="TemplateVersion">
    <vt:i4>1</vt:i4>
  </property>
  <property fmtid="{D5CDD505-2E9C-101B-9397-08002B2CF9AE}" pid="6" name="MSIP_Label_43e64453-338c-4f93-8a4d-0039a0a41f2a_Enabled">
    <vt:lpwstr>true</vt:lpwstr>
  </property>
  <property fmtid="{D5CDD505-2E9C-101B-9397-08002B2CF9AE}" pid="7" name="MSIP_Label_43e64453-338c-4f93-8a4d-0039a0a41f2a_SetDate">
    <vt:lpwstr>2023-07-19T02:09:16Z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c2b6c798-648a-4db9-9229-9f210f4aeb98</vt:lpwstr>
  </property>
  <property fmtid="{D5CDD505-2E9C-101B-9397-08002B2CF9AE}" pid="12" name="MSIP_Label_43e64453-338c-4f93-8a4d-0039a0a41f2a_ContentBits">
    <vt:lpwstr>2</vt:lpwstr>
  </property>
</Properties>
</file>