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CBA12" w14:textId="1581CC14" w:rsidR="00782B81" w:rsidRDefault="00782B81" w:rsidP="004C3889">
      <w:pPr>
        <w:pStyle w:val="Heading1"/>
      </w:pPr>
    </w:p>
    <w:p w14:paraId="0698E778" w14:textId="77777777" w:rsidR="004C3889" w:rsidRPr="004C3889" w:rsidRDefault="004C3889" w:rsidP="004C3889"/>
    <w:tbl>
      <w:tblPr>
        <w:tblStyle w:val="TableGrid"/>
        <w:tblpPr w:leftFromText="180" w:rightFromText="180" w:vertAnchor="text" w:tblpY="1"/>
        <w:tblOverlap w:val="never"/>
        <w:tblW w:w="0" w:type="auto"/>
        <w:tblBorders>
          <w:top w:val="single" w:sz="4" w:space="0" w:color="FFFFFF" w:themeColor="background1"/>
          <w:left w:val="single" w:sz="4" w:space="0" w:color="FFFFFF" w:themeColor="background1"/>
          <w:bottom w:val="none" w:sz="0" w:space="0" w:color="auto"/>
          <w:right w:val="single" w:sz="4" w:space="0" w:color="FFFFFF" w:themeColor="background1"/>
          <w:insideH w:val="single" w:sz="4" w:space="0" w:color="0070F1" w:themeColor="accent1"/>
          <w:insideV w:val="single" w:sz="4" w:space="0" w:color="FFFFFF" w:themeColor="background1"/>
        </w:tblBorders>
        <w:tblLook w:val="04A0" w:firstRow="1" w:lastRow="0" w:firstColumn="1" w:lastColumn="0" w:noHBand="0" w:noVBand="1"/>
      </w:tblPr>
      <w:tblGrid>
        <w:gridCol w:w="2830"/>
        <w:gridCol w:w="1359"/>
        <w:gridCol w:w="1360"/>
        <w:gridCol w:w="1359"/>
        <w:gridCol w:w="1360"/>
        <w:gridCol w:w="1360"/>
      </w:tblGrid>
      <w:tr w:rsidR="00577782" w14:paraId="01DF1C19" w14:textId="77777777" w:rsidTr="001A7AE8">
        <w:tc>
          <w:tcPr>
            <w:tcW w:w="2830" w:type="dxa"/>
            <w:tcBorders>
              <w:top w:val="single" w:sz="8" w:space="0" w:color="0070F1"/>
              <w:bottom w:val="single" w:sz="12" w:space="0" w:color="0070F1"/>
            </w:tcBorders>
            <w:shd w:val="clear" w:color="auto" w:fill="E5F1FE" w:themeFill="accent5"/>
          </w:tcPr>
          <w:p w14:paraId="21352191" w14:textId="32640646" w:rsidR="00577782" w:rsidRPr="001C3D56" w:rsidRDefault="006A3AFE" w:rsidP="00CC1E4C">
            <w:pPr>
              <w:pStyle w:val="Tableheading"/>
            </w:pPr>
            <w:r w:rsidRPr="00700EF5">
              <w:rPr>
                <w:color w:val="000000" w:themeColor="text1"/>
              </w:rPr>
              <w:t>Position title</w:t>
            </w:r>
          </w:p>
        </w:tc>
        <w:tc>
          <w:tcPr>
            <w:tcW w:w="6798" w:type="dxa"/>
            <w:gridSpan w:val="5"/>
            <w:tcBorders>
              <w:top w:val="single" w:sz="8" w:space="0" w:color="0070F1"/>
              <w:bottom w:val="single" w:sz="12" w:space="0" w:color="0070F1"/>
            </w:tcBorders>
            <w:shd w:val="clear" w:color="auto" w:fill="FFFFFF" w:themeFill="background1"/>
            <w:vAlign w:val="center"/>
          </w:tcPr>
          <w:p w14:paraId="0E558514" w14:textId="00BC1D85" w:rsidR="00577782" w:rsidRPr="00B71144" w:rsidRDefault="003E454B" w:rsidP="001A7AE8">
            <w:pPr>
              <w:rPr>
                <w:b/>
                <w:bCs/>
              </w:rPr>
            </w:pPr>
            <w:r>
              <w:t>CX Design Lead</w:t>
            </w:r>
          </w:p>
        </w:tc>
      </w:tr>
      <w:tr w:rsidR="006A3AFE" w14:paraId="15ADCA9C" w14:textId="77777777" w:rsidTr="001A7AE8">
        <w:tc>
          <w:tcPr>
            <w:tcW w:w="2830" w:type="dxa"/>
            <w:tcBorders>
              <w:top w:val="single" w:sz="12" w:space="0" w:color="0070F1"/>
            </w:tcBorders>
            <w:shd w:val="clear" w:color="auto" w:fill="E5F1FE" w:themeFill="accent5"/>
          </w:tcPr>
          <w:p w14:paraId="33B0C656" w14:textId="3C879D7A" w:rsidR="006A3AFE" w:rsidRPr="00700EF5" w:rsidRDefault="0010491B" w:rsidP="00CC1E4C">
            <w:pPr>
              <w:pStyle w:val="Tableheading"/>
              <w:rPr>
                <w:color w:val="000000" w:themeColor="text1"/>
              </w:rPr>
            </w:pPr>
            <w:r w:rsidRPr="00700EF5">
              <w:rPr>
                <w:color w:val="000000" w:themeColor="text1"/>
              </w:rPr>
              <w:t>Position reports to</w:t>
            </w:r>
          </w:p>
        </w:tc>
        <w:tc>
          <w:tcPr>
            <w:tcW w:w="6798" w:type="dxa"/>
            <w:gridSpan w:val="5"/>
            <w:tcBorders>
              <w:top w:val="single" w:sz="12" w:space="0" w:color="0070F1"/>
            </w:tcBorders>
            <w:shd w:val="clear" w:color="auto" w:fill="FFFFFF" w:themeFill="background1"/>
            <w:vAlign w:val="center"/>
          </w:tcPr>
          <w:p w14:paraId="1FB59F52" w14:textId="49C73B91" w:rsidR="006A3AFE" w:rsidRDefault="003E454B" w:rsidP="001A7AE8">
            <w:r>
              <w:t>Head of Community Experience</w:t>
            </w:r>
          </w:p>
        </w:tc>
      </w:tr>
      <w:tr w:rsidR="00EC64E7" w14:paraId="353F2BC5" w14:textId="77777777" w:rsidTr="001A7AE8">
        <w:tc>
          <w:tcPr>
            <w:tcW w:w="2830" w:type="dxa"/>
            <w:shd w:val="clear" w:color="auto" w:fill="E5F1FE" w:themeFill="accent5"/>
          </w:tcPr>
          <w:p w14:paraId="48853AD6" w14:textId="77777777" w:rsidR="00EC64E7" w:rsidRPr="00700EF5" w:rsidRDefault="00EC64E7" w:rsidP="00CC1E4C">
            <w:pPr>
              <w:pStyle w:val="Tableheading"/>
              <w:rPr>
                <w:color w:val="000000" w:themeColor="text1"/>
              </w:rPr>
            </w:pPr>
            <w:r w:rsidRPr="00700EF5">
              <w:rPr>
                <w:color w:val="000000" w:themeColor="text1"/>
              </w:rPr>
              <w:t>Work level</w:t>
            </w:r>
          </w:p>
        </w:tc>
        <w:tc>
          <w:tcPr>
            <w:tcW w:w="1359" w:type="dxa"/>
            <w:shd w:val="clear" w:color="auto" w:fill="FFFFFF" w:themeFill="background1"/>
            <w:vAlign w:val="center"/>
          </w:tcPr>
          <w:p w14:paraId="0DCCDE24" w14:textId="54C8FF4A" w:rsidR="00EC64E7" w:rsidRDefault="00EC64E7" w:rsidP="001A7AE8">
            <w:r>
              <w:t xml:space="preserve">1 </w:t>
            </w:r>
            <w:sdt>
              <w:sdtPr>
                <w:id w:val="-1770999427"/>
                <w14:checkbox>
                  <w14:checked w14:val="0"/>
                  <w14:checkedState w14:val="00FC" w14:font="Wingdings"/>
                  <w14:uncheckedState w14:val="2610" w14:font="MS Gothic"/>
                </w14:checkbox>
              </w:sdtPr>
              <w:sdtEndPr/>
              <w:sdtContent>
                <w:r w:rsidR="005A2CB2">
                  <w:rPr>
                    <w:rFonts w:ascii="MS Gothic" w:eastAsia="MS Gothic" w:hAnsi="MS Gothic" w:hint="eastAsia"/>
                  </w:rPr>
                  <w:t>☐</w:t>
                </w:r>
              </w:sdtContent>
            </w:sdt>
          </w:p>
        </w:tc>
        <w:tc>
          <w:tcPr>
            <w:tcW w:w="1360" w:type="dxa"/>
            <w:shd w:val="clear" w:color="auto" w:fill="FFFFFF" w:themeFill="background1"/>
            <w:vAlign w:val="center"/>
          </w:tcPr>
          <w:p w14:paraId="0772C4A0" w14:textId="274382BD" w:rsidR="00EC64E7" w:rsidRDefault="00EC64E7" w:rsidP="001A7AE8">
            <w:r>
              <w:t xml:space="preserve">2 </w:t>
            </w:r>
            <w:sdt>
              <w:sdtPr>
                <w:id w:val="-352647739"/>
                <w14:checkbox>
                  <w14:checked w14:val="0"/>
                  <w14:checkedState w14:val="00FC" w14:font="Wingdings"/>
                  <w14:uncheckedState w14:val="2610" w14:font="MS Gothic"/>
                </w14:checkbox>
              </w:sdtPr>
              <w:sdtEndPr/>
              <w:sdtContent>
                <w:r w:rsidR="005A2CB2">
                  <w:rPr>
                    <w:rFonts w:ascii="MS Gothic" w:eastAsia="MS Gothic" w:hAnsi="MS Gothic" w:hint="eastAsia"/>
                  </w:rPr>
                  <w:t>☐</w:t>
                </w:r>
              </w:sdtContent>
            </w:sdt>
          </w:p>
        </w:tc>
        <w:tc>
          <w:tcPr>
            <w:tcW w:w="1359" w:type="dxa"/>
            <w:shd w:val="clear" w:color="auto" w:fill="FFFFFF" w:themeFill="background1"/>
            <w:vAlign w:val="center"/>
          </w:tcPr>
          <w:p w14:paraId="58EDF4C8" w14:textId="15A8CDE7" w:rsidR="00EC64E7" w:rsidRDefault="00EC64E7" w:rsidP="001A7AE8">
            <w:r>
              <w:t xml:space="preserve">3 </w:t>
            </w:r>
            <w:sdt>
              <w:sdtPr>
                <w:id w:val="-2126386698"/>
                <w14:checkbox>
                  <w14:checked w14:val="0"/>
                  <w14:checkedState w14:val="00FC" w14:font="Wingdings"/>
                  <w14:uncheckedState w14:val="2610" w14:font="MS Gothic"/>
                </w14:checkbox>
              </w:sdtPr>
              <w:sdtEndPr/>
              <w:sdtContent>
                <w:r w:rsidR="005A2CB2">
                  <w:rPr>
                    <w:rFonts w:ascii="MS Gothic" w:eastAsia="MS Gothic" w:hAnsi="MS Gothic" w:hint="eastAsia"/>
                  </w:rPr>
                  <w:t>☐</w:t>
                </w:r>
              </w:sdtContent>
            </w:sdt>
          </w:p>
        </w:tc>
        <w:tc>
          <w:tcPr>
            <w:tcW w:w="1360" w:type="dxa"/>
            <w:shd w:val="clear" w:color="auto" w:fill="FFFFFF" w:themeFill="background1"/>
            <w:vAlign w:val="center"/>
          </w:tcPr>
          <w:p w14:paraId="3BD48183" w14:textId="154336B0" w:rsidR="00EC64E7" w:rsidRDefault="00EC64E7" w:rsidP="001A7AE8">
            <w:r>
              <w:t xml:space="preserve">4 </w:t>
            </w:r>
            <w:sdt>
              <w:sdtPr>
                <w:id w:val="-1711181003"/>
                <w15:color w:val="0070F1"/>
                <w14:checkbox>
                  <w14:checked w14:val="1"/>
                  <w14:checkedState w14:val="00FC" w14:font="Wingdings"/>
                  <w14:uncheckedState w14:val="2610" w14:font="MS Gothic"/>
                </w14:checkbox>
              </w:sdtPr>
              <w:sdtEndPr/>
              <w:sdtContent>
                <w:r w:rsidR="003E454B">
                  <w:sym w:font="Wingdings" w:char="F0FC"/>
                </w:r>
              </w:sdtContent>
            </w:sdt>
          </w:p>
        </w:tc>
        <w:tc>
          <w:tcPr>
            <w:tcW w:w="1360" w:type="dxa"/>
            <w:shd w:val="clear" w:color="auto" w:fill="FFFFFF" w:themeFill="background1"/>
            <w:vAlign w:val="center"/>
          </w:tcPr>
          <w:p w14:paraId="3A2EECCC" w14:textId="19668A1B" w:rsidR="00EC64E7" w:rsidRDefault="00EC64E7" w:rsidP="001A7AE8"/>
        </w:tc>
      </w:tr>
      <w:tr w:rsidR="00577782" w14:paraId="47F0A737" w14:textId="77777777" w:rsidTr="001A7AE8">
        <w:tc>
          <w:tcPr>
            <w:tcW w:w="2830" w:type="dxa"/>
            <w:shd w:val="clear" w:color="auto" w:fill="E5F1FE" w:themeFill="accent5"/>
          </w:tcPr>
          <w:p w14:paraId="674597AA" w14:textId="03ED55FD" w:rsidR="00577782" w:rsidRPr="00700EF5" w:rsidRDefault="006A3AFE" w:rsidP="00CC1E4C">
            <w:pPr>
              <w:pStyle w:val="Tableheading"/>
              <w:rPr>
                <w:color w:val="000000" w:themeColor="text1"/>
              </w:rPr>
            </w:pPr>
            <w:r w:rsidRPr="00700EF5">
              <w:rPr>
                <w:color w:val="000000" w:themeColor="text1"/>
              </w:rPr>
              <w:t>Group</w:t>
            </w:r>
            <w:r w:rsidR="00B35500" w:rsidRPr="00700EF5">
              <w:rPr>
                <w:color w:val="000000" w:themeColor="text1"/>
              </w:rPr>
              <w:t xml:space="preserve"> and team</w:t>
            </w:r>
          </w:p>
        </w:tc>
        <w:tc>
          <w:tcPr>
            <w:tcW w:w="6798" w:type="dxa"/>
            <w:gridSpan w:val="5"/>
            <w:shd w:val="clear" w:color="auto" w:fill="FFFFFF" w:themeFill="background1"/>
            <w:vAlign w:val="center"/>
          </w:tcPr>
          <w:p w14:paraId="73D83185" w14:textId="282C5470" w:rsidR="00577782" w:rsidRDefault="003E454B" w:rsidP="001A7AE8">
            <w:r>
              <w:t>Community Experience, Centre of Excellence</w:t>
            </w:r>
          </w:p>
        </w:tc>
      </w:tr>
      <w:tr w:rsidR="009E01C1" w14:paraId="2A0524F8" w14:textId="77777777" w:rsidTr="001A7AE8">
        <w:tc>
          <w:tcPr>
            <w:tcW w:w="2830" w:type="dxa"/>
            <w:shd w:val="clear" w:color="auto" w:fill="E5F1FE" w:themeFill="accent5"/>
          </w:tcPr>
          <w:p w14:paraId="1A3A1614" w14:textId="6D95E4FC" w:rsidR="009E01C1" w:rsidRPr="00700EF5" w:rsidRDefault="001A7AE8" w:rsidP="00CC1E4C">
            <w:pPr>
              <w:pStyle w:val="Tableheading"/>
              <w:rPr>
                <w:color w:val="000000" w:themeColor="text1"/>
              </w:rPr>
            </w:pPr>
            <w:r w:rsidRPr="00700EF5">
              <w:rPr>
                <w:color w:val="000000" w:themeColor="text1"/>
              </w:rPr>
              <w:t>Location</w:t>
            </w:r>
          </w:p>
        </w:tc>
        <w:tc>
          <w:tcPr>
            <w:tcW w:w="6798" w:type="dxa"/>
            <w:gridSpan w:val="5"/>
            <w:shd w:val="clear" w:color="auto" w:fill="FFFFFF" w:themeFill="background1"/>
            <w:vAlign w:val="center"/>
          </w:tcPr>
          <w:p w14:paraId="1316D5A4" w14:textId="4E719EAC" w:rsidR="009E01C1" w:rsidRDefault="001A7AE8" w:rsidP="001A7AE8">
            <w:r>
              <w:t>Onsite at the Hub in Melbourne CBD or Hybrid</w:t>
            </w:r>
          </w:p>
          <w:p w14:paraId="416DBD54" w14:textId="6F31CCE2" w:rsidR="001A7AE8" w:rsidRDefault="001A7AE8" w:rsidP="001A7AE8">
            <w:r>
              <w:rPr>
                <w:sz w:val="18"/>
                <w:szCs w:val="18"/>
              </w:rPr>
              <w:t>[</w:t>
            </w:r>
            <w:r w:rsidRPr="009E01C1">
              <w:rPr>
                <w:sz w:val="18"/>
                <w:szCs w:val="18"/>
              </w:rPr>
              <w:t>Hiring manager –</w:t>
            </w:r>
            <w:r>
              <w:rPr>
                <w:sz w:val="18"/>
                <w:szCs w:val="18"/>
              </w:rPr>
              <w:t xml:space="preserve"> </w:t>
            </w:r>
            <w:r w:rsidRPr="009E01C1">
              <w:rPr>
                <w:sz w:val="18"/>
                <w:szCs w:val="18"/>
              </w:rPr>
              <w:t xml:space="preserve">ensure you refer to the </w:t>
            </w:r>
            <w:hyperlink r:id="rId11" w:history="1">
              <w:r w:rsidRPr="001A7AE8">
                <w:rPr>
                  <w:rStyle w:val="Hyperlink"/>
                  <w:sz w:val="18"/>
                  <w:szCs w:val="18"/>
                </w:rPr>
                <w:t>Hybrid working policy</w:t>
              </w:r>
            </w:hyperlink>
            <w:r w:rsidRPr="009E01C1">
              <w:rPr>
                <w:sz w:val="18"/>
                <w:szCs w:val="18"/>
              </w:rPr>
              <w:t xml:space="preserve"> and </w:t>
            </w:r>
            <w:r>
              <w:rPr>
                <w:sz w:val="18"/>
                <w:szCs w:val="18"/>
              </w:rPr>
              <w:t>discuss the location requirements for the role with your candidate. Delete this message before publishing.]</w:t>
            </w:r>
          </w:p>
        </w:tc>
      </w:tr>
      <w:tr w:rsidR="001A7AE8" w14:paraId="5D785AE2" w14:textId="77777777" w:rsidTr="001A7AE8">
        <w:tc>
          <w:tcPr>
            <w:tcW w:w="2830" w:type="dxa"/>
            <w:shd w:val="clear" w:color="auto" w:fill="E5F1FE" w:themeFill="accent5"/>
          </w:tcPr>
          <w:p w14:paraId="38FB417D" w14:textId="29373EAB" w:rsidR="001A7AE8" w:rsidRPr="00700EF5" w:rsidRDefault="001A7AE8" w:rsidP="00CC1E4C">
            <w:pPr>
              <w:pStyle w:val="Tableheading"/>
              <w:rPr>
                <w:color w:val="000000" w:themeColor="text1"/>
              </w:rPr>
            </w:pPr>
            <w:r w:rsidRPr="00700EF5">
              <w:rPr>
                <w:color w:val="000000" w:themeColor="text1"/>
              </w:rPr>
              <w:t>Employment type</w:t>
            </w:r>
          </w:p>
        </w:tc>
        <w:tc>
          <w:tcPr>
            <w:tcW w:w="6798" w:type="dxa"/>
            <w:gridSpan w:val="5"/>
            <w:shd w:val="clear" w:color="auto" w:fill="FFFFFF" w:themeFill="background1"/>
            <w:vAlign w:val="center"/>
          </w:tcPr>
          <w:p w14:paraId="1A0C1B19" w14:textId="45D1DAFB" w:rsidR="001A7AE8" w:rsidRDefault="003E454B" w:rsidP="001A7AE8">
            <w:r>
              <w:t>Full time, contract</w:t>
            </w:r>
          </w:p>
        </w:tc>
      </w:tr>
      <w:tr w:rsidR="00577782" w14:paraId="2A33BAF5" w14:textId="77777777" w:rsidTr="001A7AE8">
        <w:tc>
          <w:tcPr>
            <w:tcW w:w="2830" w:type="dxa"/>
            <w:shd w:val="clear" w:color="auto" w:fill="E5F1FE" w:themeFill="accent5"/>
          </w:tcPr>
          <w:p w14:paraId="4F61FE76" w14:textId="37CADCD8" w:rsidR="00577782" w:rsidRPr="00700EF5" w:rsidRDefault="0010491B" w:rsidP="00CC1E4C">
            <w:pPr>
              <w:pStyle w:val="Tableheading"/>
              <w:rPr>
                <w:color w:val="000000" w:themeColor="text1"/>
              </w:rPr>
            </w:pPr>
            <w:r w:rsidRPr="00700EF5">
              <w:rPr>
                <w:color w:val="000000" w:themeColor="text1"/>
              </w:rPr>
              <w:t>Direct reports</w:t>
            </w:r>
          </w:p>
        </w:tc>
        <w:tc>
          <w:tcPr>
            <w:tcW w:w="6798" w:type="dxa"/>
            <w:gridSpan w:val="5"/>
            <w:shd w:val="clear" w:color="auto" w:fill="FFFFFF" w:themeFill="background1"/>
            <w:vAlign w:val="center"/>
          </w:tcPr>
          <w:p w14:paraId="7D6BC363" w14:textId="1ECAB144" w:rsidR="00577782" w:rsidRPr="00934904" w:rsidRDefault="003E454B" w:rsidP="001A7AE8">
            <w:r>
              <w:t>1</w:t>
            </w:r>
          </w:p>
        </w:tc>
      </w:tr>
      <w:tr w:rsidR="00C729E9" w14:paraId="5A7BE5E9" w14:textId="77777777" w:rsidTr="00332AB7">
        <w:trPr>
          <w:trHeight w:val="699"/>
        </w:trPr>
        <w:tc>
          <w:tcPr>
            <w:tcW w:w="9628" w:type="dxa"/>
            <w:gridSpan w:val="6"/>
            <w:shd w:val="clear" w:color="auto" w:fill="FFFFFF" w:themeFill="background1"/>
          </w:tcPr>
          <w:p w14:paraId="63EA1D04" w14:textId="54EC8DB0" w:rsidR="00704F5E" w:rsidRDefault="00B70B3D" w:rsidP="00CC1E4C">
            <w:pPr>
              <w:pStyle w:val="Tableheading"/>
            </w:pPr>
            <w:r>
              <w:t xml:space="preserve">Why </w:t>
            </w:r>
            <w:r w:rsidR="004C3889">
              <w:t xml:space="preserve">choose </w:t>
            </w:r>
            <w:r>
              <w:t>Beyond Blue</w:t>
            </w:r>
          </w:p>
          <w:p w14:paraId="48FC8D96" w14:textId="40ACF969" w:rsidR="000D0899" w:rsidRDefault="000D0899" w:rsidP="00CC1E4C">
            <w:pPr>
              <w:rPr>
                <w:bdr w:val="none" w:sz="0" w:space="0" w:color="auto" w:frame="1"/>
              </w:rPr>
            </w:pPr>
            <w:r w:rsidRPr="006F2D47">
              <w:rPr>
                <w:bdr w:val="none" w:sz="0" w:space="0" w:color="auto" w:frame="1"/>
              </w:rPr>
              <w:t xml:space="preserve">Beyond Blue has been providing supports and services to people in Australia for </w:t>
            </w:r>
            <w:r>
              <w:rPr>
                <w:bdr w:val="none" w:sz="0" w:space="0" w:color="auto" w:frame="1"/>
              </w:rPr>
              <w:t xml:space="preserve">over </w:t>
            </w:r>
            <w:r w:rsidRPr="006F2D47">
              <w:rPr>
                <w:bdr w:val="none" w:sz="0" w:space="0" w:color="auto" w:frame="1"/>
              </w:rPr>
              <w:t>20 years.</w:t>
            </w:r>
          </w:p>
          <w:p w14:paraId="2D266C65" w14:textId="299C0C7B" w:rsidR="000D0899" w:rsidRDefault="000D0899" w:rsidP="00CC1E4C">
            <w:pPr>
              <w:rPr>
                <w:bdr w:val="none" w:sz="0" w:space="0" w:color="auto" w:frame="1"/>
              </w:rPr>
            </w:pPr>
            <w:r w:rsidRPr="006F2D47">
              <w:rPr>
                <w:bdr w:val="none" w:sz="0" w:space="0" w:color="auto" w:frame="1"/>
              </w:rPr>
              <w:t>We are Australi</w:t>
            </w:r>
            <w:r>
              <w:rPr>
                <w:bdr w:val="none" w:sz="0" w:space="0" w:color="auto" w:frame="1"/>
              </w:rPr>
              <w:t>a’</w:t>
            </w:r>
            <w:r w:rsidRPr="006F2D47">
              <w:rPr>
                <w:bdr w:val="none" w:sz="0" w:space="0" w:color="auto" w:frame="1"/>
              </w:rPr>
              <w:t xml:space="preserve">s most well-known and visited mental health organisation, focused on supporting people affected by anxiety, </w:t>
            </w:r>
            <w:proofErr w:type="gramStart"/>
            <w:r w:rsidRPr="006F2D47">
              <w:rPr>
                <w:bdr w:val="none" w:sz="0" w:space="0" w:color="auto" w:frame="1"/>
              </w:rPr>
              <w:t>depression</w:t>
            </w:r>
            <w:proofErr w:type="gramEnd"/>
            <w:r w:rsidRPr="006F2D47">
              <w:rPr>
                <w:bdr w:val="none" w:sz="0" w:space="0" w:color="auto" w:frame="1"/>
              </w:rPr>
              <w:t xml:space="preserve"> and suicide.</w:t>
            </w:r>
            <w:r w:rsidRPr="006F2D47">
              <w:rPr>
                <w:rFonts w:hint="eastAsia"/>
                <w:bdr w:val="none" w:sz="0" w:space="0" w:color="auto" w:frame="1"/>
              </w:rPr>
              <w:t> </w:t>
            </w:r>
            <w:r>
              <w:rPr>
                <w:bdr w:val="none" w:sz="0" w:space="0" w:color="auto" w:frame="1"/>
              </w:rPr>
              <w:t xml:space="preserve">We are inspired by our vision that ‘all people in Australia achieve their best possible mental health’ and are driven by our mission to work with the community to improve mental health and prevent suicide. </w:t>
            </w:r>
          </w:p>
          <w:p w14:paraId="361922A7" w14:textId="77777777" w:rsidR="000D0899" w:rsidRDefault="000D0899" w:rsidP="00CC1E4C">
            <w:pPr>
              <w:rPr>
                <w:bdr w:val="none" w:sz="0" w:space="0" w:color="auto" w:frame="1"/>
              </w:rPr>
            </w:pPr>
            <w:r>
              <w:rPr>
                <w:bdr w:val="none" w:sz="0" w:space="0" w:color="auto" w:frame="1"/>
              </w:rPr>
              <w:t xml:space="preserve">We aim to achieve this through three strategic priorities: </w:t>
            </w:r>
          </w:p>
          <w:p w14:paraId="7D5330D6" w14:textId="77777777" w:rsidR="000D0899" w:rsidRDefault="000D0899" w:rsidP="00CC1E4C">
            <w:pPr>
              <w:pStyle w:val="Numberedlist"/>
              <w:rPr>
                <w:shd w:val="clear" w:color="auto" w:fill="FFFFFF"/>
                <w:lang w:eastAsia="en-GB"/>
              </w:rPr>
            </w:pPr>
            <w:r>
              <w:rPr>
                <w:shd w:val="clear" w:color="auto" w:fill="FFFFFF"/>
                <w:lang w:eastAsia="en-GB"/>
              </w:rPr>
              <w:t>Promoting mental health and wellbeing</w:t>
            </w:r>
          </w:p>
          <w:p w14:paraId="7B858F94" w14:textId="77777777" w:rsidR="000D0899" w:rsidRPr="00F45794" w:rsidRDefault="000D0899" w:rsidP="00CC1E4C">
            <w:pPr>
              <w:pStyle w:val="Numberedlist"/>
              <w:rPr>
                <w:shd w:val="clear" w:color="auto" w:fill="FFFFFF"/>
                <w:lang w:eastAsia="en-GB"/>
              </w:rPr>
            </w:pPr>
            <w:r w:rsidRPr="00F45794">
              <w:rPr>
                <w:shd w:val="clear" w:color="auto" w:fill="FFFFFF"/>
                <w:lang w:eastAsia="en-GB"/>
              </w:rPr>
              <w:t xml:space="preserve">Being a trusted source of information, </w:t>
            </w:r>
            <w:proofErr w:type="gramStart"/>
            <w:r w:rsidRPr="00F45794">
              <w:rPr>
                <w:shd w:val="clear" w:color="auto" w:fill="FFFFFF"/>
                <w:lang w:eastAsia="en-GB"/>
              </w:rPr>
              <w:t>advice</w:t>
            </w:r>
            <w:proofErr w:type="gramEnd"/>
            <w:r w:rsidRPr="00F45794">
              <w:rPr>
                <w:shd w:val="clear" w:color="auto" w:fill="FFFFFF"/>
                <w:lang w:eastAsia="en-GB"/>
              </w:rPr>
              <w:t xml:space="preserve"> and support</w:t>
            </w:r>
          </w:p>
          <w:p w14:paraId="4DE21B1F" w14:textId="77777777" w:rsidR="000D0899" w:rsidRPr="001160F8" w:rsidRDefault="000D0899" w:rsidP="00CC1E4C">
            <w:pPr>
              <w:pStyle w:val="Numberedlist"/>
              <w:rPr>
                <w:shd w:val="clear" w:color="auto" w:fill="FFFFFF"/>
                <w:lang w:eastAsia="en-GB"/>
              </w:rPr>
            </w:pPr>
            <w:r>
              <w:rPr>
                <w:shd w:val="clear" w:color="auto" w:fill="FFFFFF"/>
                <w:lang w:eastAsia="en-GB"/>
              </w:rPr>
              <w:t>Working together to prevent suicide</w:t>
            </w:r>
            <w:r w:rsidRPr="001160F8">
              <w:rPr>
                <w:shd w:val="clear" w:color="auto" w:fill="FFFFFF"/>
                <w:lang w:eastAsia="en-GB"/>
              </w:rPr>
              <w:t xml:space="preserve"> </w:t>
            </w:r>
          </w:p>
          <w:p w14:paraId="78EE4727" w14:textId="77777777" w:rsidR="008A3AC0" w:rsidRDefault="000D0899" w:rsidP="00CC1E4C">
            <w:pPr>
              <w:rPr>
                <w:bdr w:val="none" w:sz="0" w:space="0" w:color="auto" w:frame="1"/>
              </w:rPr>
            </w:pPr>
            <w:r>
              <w:rPr>
                <w:bdr w:val="none" w:sz="0" w:space="0" w:color="auto" w:frame="1"/>
              </w:rPr>
              <w:t>At Beyond Blue the community is at the heart of everything we do</w:t>
            </w:r>
            <w:r w:rsidR="009D783A">
              <w:rPr>
                <w:bdr w:val="none" w:sz="0" w:space="0" w:color="auto" w:frame="1"/>
              </w:rPr>
              <w:t xml:space="preserve">. </w:t>
            </w:r>
          </w:p>
          <w:p w14:paraId="1541D14A" w14:textId="3E9E5CCA" w:rsidR="008A3AC0" w:rsidRDefault="008A3AC0" w:rsidP="00CC1E4C">
            <w:pPr>
              <w:rPr>
                <w:bdr w:val="none" w:sz="0" w:space="0" w:color="auto" w:frame="1"/>
              </w:rPr>
            </w:pPr>
            <w:r w:rsidRPr="001443F7">
              <w:rPr>
                <w:bdr w:val="none" w:sz="0" w:space="0" w:color="auto" w:frame="1"/>
              </w:rPr>
              <w:t>By joining our team you’ll be involved in meaningful work</w:t>
            </w:r>
            <w:r w:rsidR="00994D02">
              <w:rPr>
                <w:bdr w:val="none" w:sz="0" w:space="0" w:color="auto" w:frame="1"/>
              </w:rPr>
              <w:t>,</w:t>
            </w:r>
            <w:r w:rsidRPr="001443F7">
              <w:rPr>
                <w:bdr w:val="none" w:sz="0" w:space="0" w:color="auto" w:frame="1"/>
              </w:rPr>
              <w:t xml:space="preserve"> collaborating </w:t>
            </w:r>
            <w:r w:rsidR="00994D02">
              <w:rPr>
                <w:bdr w:val="none" w:sz="0" w:space="0" w:color="auto" w:frame="1"/>
              </w:rPr>
              <w:t>with a cross-section of colleagues, partners</w:t>
            </w:r>
            <w:r w:rsidR="00AD6B5A">
              <w:rPr>
                <w:bdr w:val="none" w:sz="0" w:space="0" w:color="auto" w:frame="1"/>
              </w:rPr>
              <w:t>,</w:t>
            </w:r>
            <w:r w:rsidR="00994D02">
              <w:rPr>
                <w:bdr w:val="none" w:sz="0" w:space="0" w:color="auto" w:frame="1"/>
              </w:rPr>
              <w:t xml:space="preserve"> and c</w:t>
            </w:r>
            <w:r w:rsidR="00130775">
              <w:rPr>
                <w:bdr w:val="none" w:sz="0" w:space="0" w:color="auto" w:frame="1"/>
              </w:rPr>
              <w:t xml:space="preserve">ommunity right across </w:t>
            </w:r>
            <w:r w:rsidRPr="001443F7">
              <w:rPr>
                <w:bdr w:val="none" w:sz="0" w:space="0" w:color="auto" w:frame="1"/>
              </w:rPr>
              <w:t>Australia. We offer our team opportunities to support and learn from one another, build capabilities, celebrate successes along the way</w:t>
            </w:r>
            <w:r w:rsidR="00D22230">
              <w:rPr>
                <w:bdr w:val="none" w:sz="0" w:space="0" w:color="auto" w:frame="1"/>
              </w:rPr>
              <w:t>,</w:t>
            </w:r>
            <w:r w:rsidR="00755863">
              <w:rPr>
                <w:bdr w:val="none" w:sz="0" w:space="0" w:color="auto" w:frame="1"/>
              </w:rPr>
              <w:t xml:space="preserve"> </w:t>
            </w:r>
            <w:r w:rsidRPr="001443F7">
              <w:rPr>
                <w:bdr w:val="none" w:sz="0" w:space="0" w:color="auto" w:frame="1"/>
              </w:rPr>
              <w:t>and generous not-for-profit salary packaging options.</w:t>
            </w:r>
            <w:r w:rsidR="00130775">
              <w:rPr>
                <w:bdr w:val="none" w:sz="0" w:space="0" w:color="auto" w:frame="1"/>
              </w:rPr>
              <w:t xml:space="preserve"> </w:t>
            </w:r>
          </w:p>
          <w:p w14:paraId="0CEC2609" w14:textId="58DD4A8A" w:rsidR="00CE442D" w:rsidRPr="009E01C1" w:rsidRDefault="00130775" w:rsidP="00CC1E4C">
            <w:r>
              <w:rPr>
                <w:bdr w:val="none" w:sz="0" w:space="0" w:color="auto" w:frame="1"/>
              </w:rPr>
              <w:t>Your mental</w:t>
            </w:r>
            <w:r w:rsidR="00755863">
              <w:rPr>
                <w:bdr w:val="none" w:sz="0" w:space="0" w:color="auto" w:frame="1"/>
              </w:rPr>
              <w:t xml:space="preserve"> and physical</w:t>
            </w:r>
            <w:r>
              <w:rPr>
                <w:bdr w:val="none" w:sz="0" w:space="0" w:color="auto" w:frame="1"/>
              </w:rPr>
              <w:t xml:space="preserve"> health </w:t>
            </w:r>
            <w:r w:rsidR="00562C2C">
              <w:rPr>
                <w:bdr w:val="none" w:sz="0" w:space="0" w:color="auto" w:frame="1"/>
              </w:rPr>
              <w:t>are</w:t>
            </w:r>
            <w:r>
              <w:rPr>
                <w:bdr w:val="none" w:sz="0" w:space="0" w:color="auto" w:frame="1"/>
              </w:rPr>
              <w:t xml:space="preserve"> important to us </w:t>
            </w:r>
            <w:r w:rsidR="00626E50">
              <w:rPr>
                <w:bdr w:val="none" w:sz="0" w:space="0" w:color="auto" w:frame="1"/>
              </w:rPr>
              <w:t>– we offer a range of wellbeing initiatives, including an Employee Assistance Program</w:t>
            </w:r>
            <w:r w:rsidR="00755863">
              <w:rPr>
                <w:bdr w:val="none" w:sz="0" w:space="0" w:color="auto" w:frame="1"/>
              </w:rPr>
              <w:t>,</w:t>
            </w:r>
            <w:r w:rsidR="00AE1F14">
              <w:rPr>
                <w:bdr w:val="none" w:sz="0" w:space="0" w:color="auto" w:frame="1"/>
              </w:rPr>
              <w:t xml:space="preserve"> </w:t>
            </w:r>
            <w:r w:rsidR="0054190F">
              <w:rPr>
                <w:bdr w:val="none" w:sz="0" w:space="0" w:color="auto" w:frame="1"/>
              </w:rPr>
              <w:t>a comprehensive Flexible working policy</w:t>
            </w:r>
            <w:r w:rsidR="00741EBB">
              <w:rPr>
                <w:bdr w:val="none" w:sz="0" w:space="0" w:color="auto" w:frame="1"/>
              </w:rPr>
              <w:t>,</w:t>
            </w:r>
            <w:r w:rsidR="00755863">
              <w:rPr>
                <w:bdr w:val="none" w:sz="0" w:space="0" w:color="auto" w:frame="1"/>
              </w:rPr>
              <w:t xml:space="preserve"> </w:t>
            </w:r>
            <w:r w:rsidR="00C217DC">
              <w:rPr>
                <w:bdr w:val="none" w:sz="0" w:space="0" w:color="auto" w:frame="1"/>
              </w:rPr>
              <w:t xml:space="preserve">ensuring you have </w:t>
            </w:r>
            <w:r w:rsidR="00AE1F14">
              <w:rPr>
                <w:bdr w:val="none" w:sz="0" w:space="0" w:color="auto" w:frame="1"/>
              </w:rPr>
              <w:t>safe and effective ergonomic support</w:t>
            </w:r>
            <w:r w:rsidR="00741EBB">
              <w:rPr>
                <w:bdr w:val="none" w:sz="0" w:space="0" w:color="auto" w:frame="1"/>
              </w:rPr>
              <w:t xml:space="preserve"> no matter where you work,</w:t>
            </w:r>
            <w:r w:rsidR="008F07EF">
              <w:rPr>
                <w:bdr w:val="none" w:sz="0" w:space="0" w:color="auto" w:frame="1"/>
              </w:rPr>
              <w:t xml:space="preserve"> as well as </w:t>
            </w:r>
            <w:r w:rsidR="00BA7956">
              <w:rPr>
                <w:bdr w:val="none" w:sz="0" w:space="0" w:color="auto" w:frame="1"/>
              </w:rPr>
              <w:t>employee</w:t>
            </w:r>
            <w:r w:rsidR="008F07EF">
              <w:rPr>
                <w:bdr w:val="none" w:sz="0" w:space="0" w:color="auto" w:frame="1"/>
              </w:rPr>
              <w:t>-led groups and initiatives</w:t>
            </w:r>
            <w:r w:rsidR="00D272CC">
              <w:rPr>
                <w:bdr w:val="none" w:sz="0" w:space="0" w:color="auto" w:frame="1"/>
              </w:rPr>
              <w:t>.</w:t>
            </w:r>
            <w:r w:rsidR="008F07EF">
              <w:rPr>
                <w:bdr w:val="none" w:sz="0" w:space="0" w:color="auto" w:frame="1"/>
              </w:rPr>
              <w:t xml:space="preserve"> </w:t>
            </w:r>
            <w:r w:rsidR="00332AB7">
              <w:rPr>
                <w:bdr w:val="none" w:sz="0" w:space="0" w:color="auto" w:frame="1"/>
              </w:rPr>
              <w:br/>
            </w:r>
            <w:r w:rsidR="00332AB7">
              <w:rPr>
                <w:bdr w:val="none" w:sz="0" w:space="0" w:color="auto" w:frame="1"/>
              </w:rPr>
              <w:br/>
            </w:r>
            <w:r w:rsidR="005622D7">
              <w:rPr>
                <w:bdr w:val="none" w:sz="0" w:space="0" w:color="auto" w:frame="1"/>
              </w:rPr>
              <w:t>We strive to live our</w:t>
            </w:r>
            <w:r w:rsidR="00917E51">
              <w:rPr>
                <w:bdr w:val="none" w:sz="0" w:space="0" w:color="auto" w:frame="1"/>
              </w:rPr>
              <w:t xml:space="preserve"> organisational values of </w:t>
            </w:r>
            <w:r w:rsidR="000D0899">
              <w:rPr>
                <w:b/>
                <w:bCs/>
              </w:rPr>
              <w:t xml:space="preserve">Collaboration, Respect, Enthusiasm, Excellence, </w:t>
            </w:r>
            <w:proofErr w:type="gramStart"/>
            <w:r w:rsidR="000D0899">
              <w:rPr>
                <w:b/>
                <w:bCs/>
              </w:rPr>
              <w:t>Innovation</w:t>
            </w:r>
            <w:proofErr w:type="gramEnd"/>
            <w:r w:rsidR="000D0899">
              <w:rPr>
                <w:b/>
                <w:bCs/>
              </w:rPr>
              <w:t xml:space="preserve"> and Integrity</w:t>
            </w:r>
            <w:r w:rsidR="00917E51">
              <w:rPr>
                <w:b/>
                <w:bCs/>
              </w:rPr>
              <w:t xml:space="preserve"> </w:t>
            </w:r>
            <w:r w:rsidR="005622D7">
              <w:t>to</w:t>
            </w:r>
            <w:r w:rsidR="00917E51">
              <w:t xml:space="preserve"> help</w:t>
            </w:r>
            <w:r w:rsidR="005622D7">
              <w:t xml:space="preserve"> create a happy</w:t>
            </w:r>
            <w:r w:rsidR="0054190F">
              <w:t>, safe</w:t>
            </w:r>
            <w:r w:rsidR="005622D7">
              <w:t xml:space="preserve"> and productive work environment</w:t>
            </w:r>
            <w:r w:rsidR="0054190F">
              <w:t>.</w:t>
            </w:r>
          </w:p>
        </w:tc>
      </w:tr>
      <w:tr w:rsidR="00777DCD" w14:paraId="4792C669" w14:textId="77777777" w:rsidTr="009E01C1">
        <w:trPr>
          <w:trHeight w:val="569"/>
        </w:trPr>
        <w:tc>
          <w:tcPr>
            <w:tcW w:w="9628" w:type="dxa"/>
            <w:gridSpan w:val="6"/>
            <w:tcBorders>
              <w:top w:val="single" w:sz="4" w:space="0" w:color="0070F1" w:themeColor="accent1"/>
            </w:tcBorders>
            <w:shd w:val="clear" w:color="auto" w:fill="FFFFFF" w:themeFill="background1"/>
          </w:tcPr>
          <w:p w14:paraId="27036051" w14:textId="269E04F9" w:rsidR="00777DCD" w:rsidRDefault="00777DCD" w:rsidP="00CC1E4C">
            <w:pPr>
              <w:pStyle w:val="Tableheading"/>
            </w:pPr>
            <w:r>
              <w:lastRenderedPageBreak/>
              <w:t>About the role</w:t>
            </w:r>
          </w:p>
        </w:tc>
      </w:tr>
      <w:tr w:rsidR="002C4D09" w14:paraId="0264BB6C" w14:textId="77777777" w:rsidTr="00CD0AE7">
        <w:trPr>
          <w:trHeight w:val="231"/>
        </w:trPr>
        <w:tc>
          <w:tcPr>
            <w:tcW w:w="2830" w:type="dxa"/>
            <w:shd w:val="clear" w:color="auto" w:fill="E5F1FE" w:themeFill="accent5"/>
          </w:tcPr>
          <w:p w14:paraId="51D6C121" w14:textId="4DA47505" w:rsidR="002C4D09" w:rsidRDefault="007C6E56" w:rsidP="004C3889">
            <w:pPr>
              <w:pStyle w:val="Heading4"/>
              <w:framePr w:hSpace="0" w:wrap="auto" w:vAnchor="margin" w:yAlign="inline"/>
              <w:suppressOverlap w:val="0"/>
              <w:outlineLvl w:val="3"/>
            </w:pPr>
            <w:r>
              <w:t>Role description</w:t>
            </w:r>
          </w:p>
        </w:tc>
        <w:tc>
          <w:tcPr>
            <w:tcW w:w="6798" w:type="dxa"/>
            <w:gridSpan w:val="5"/>
            <w:shd w:val="clear" w:color="auto" w:fill="FFFFFF" w:themeFill="background1"/>
            <w:vAlign w:val="center"/>
          </w:tcPr>
          <w:p w14:paraId="2090ADE0" w14:textId="77777777" w:rsidR="009D783A" w:rsidRDefault="009D783A" w:rsidP="00CD0AE7">
            <w:r>
              <w:t>Summary used in job ad</w:t>
            </w:r>
          </w:p>
          <w:p w14:paraId="4A36ABBC" w14:textId="36750C15" w:rsidR="003E454B" w:rsidRDefault="003E454B" w:rsidP="00CD0AE7">
            <w:r>
              <w:t xml:space="preserve">The purpose of the CX Design Lead role is to lead the development and implementation of the Beyond Blue’s CX future state experience and design roadmap. The delivery of the future state journey is critical in delivering the improvement of experiences, systems, processes, </w:t>
            </w:r>
            <w:proofErr w:type="gramStart"/>
            <w:r>
              <w:t>culture</w:t>
            </w:r>
            <w:proofErr w:type="gramEnd"/>
            <w:r>
              <w:t xml:space="preserve"> and capability resulting in high impact improvements to overall service delivery and customer experience for the community. This role requires a passion for identifying opportunities for improvement and innovation, applying HCD skillsets, principles and design thinking to service and product design. The role will also hold the overarching strategic view of current and future state journeys that connect our ecosystem of products and services. Additionally, our success is defined by our internal stakeholders being inspired by the activities we undertake and how we demonstrate the use CX tools and skillsets to design innovative community experience</w:t>
            </w:r>
            <w:r w:rsidR="002073BF">
              <w:t>.</w:t>
            </w:r>
          </w:p>
          <w:p w14:paraId="45FA2209" w14:textId="77777777" w:rsidR="003E454B" w:rsidRDefault="003E454B" w:rsidP="00CD0AE7"/>
          <w:p w14:paraId="696B3D9E" w14:textId="77777777" w:rsidR="009D783A" w:rsidRDefault="009D783A" w:rsidP="00CD0AE7">
            <w:r>
              <w:t>About the team (purpose)</w:t>
            </w:r>
          </w:p>
          <w:p w14:paraId="3233A599" w14:textId="5227CF08" w:rsidR="002C4D09" w:rsidRDefault="009D783A" w:rsidP="00CD0AE7">
            <w:pPr>
              <w:pStyle w:val="Bullets"/>
            </w:pPr>
            <w:r>
              <w:t>About the role (purpose and key areas of accountability)</w:t>
            </w:r>
          </w:p>
        </w:tc>
      </w:tr>
      <w:tr w:rsidR="002C4D09" w14:paraId="3FB48344" w14:textId="77777777" w:rsidTr="00CD0AE7">
        <w:trPr>
          <w:trHeight w:val="228"/>
        </w:trPr>
        <w:tc>
          <w:tcPr>
            <w:tcW w:w="2830" w:type="dxa"/>
            <w:shd w:val="clear" w:color="auto" w:fill="E5F1FE" w:themeFill="accent5"/>
          </w:tcPr>
          <w:p w14:paraId="7C774F70" w14:textId="0D4D2D27" w:rsidR="002C4D09" w:rsidRDefault="00BB5C9A" w:rsidP="004C3889">
            <w:pPr>
              <w:pStyle w:val="Heading4"/>
              <w:framePr w:hSpace="0" w:wrap="auto" w:vAnchor="margin" w:yAlign="inline"/>
              <w:suppressOverlap w:val="0"/>
              <w:outlineLvl w:val="3"/>
            </w:pPr>
            <w:r>
              <w:t xml:space="preserve">Key accountabilities </w:t>
            </w:r>
          </w:p>
        </w:tc>
        <w:tc>
          <w:tcPr>
            <w:tcW w:w="6798" w:type="dxa"/>
            <w:gridSpan w:val="5"/>
            <w:shd w:val="clear" w:color="auto" w:fill="FFFFFF" w:themeFill="background1"/>
            <w:vAlign w:val="center"/>
          </w:tcPr>
          <w:p w14:paraId="17A51161" w14:textId="77777777" w:rsidR="002C4D09" w:rsidRDefault="00CC1E4C" w:rsidP="00CD0AE7">
            <w:pPr>
              <w:pStyle w:val="Tableheading"/>
            </w:pPr>
            <w:r>
              <w:t>Area of accountability</w:t>
            </w:r>
          </w:p>
          <w:p w14:paraId="0F6DCE87" w14:textId="4D0A251A" w:rsidR="003E454B" w:rsidRDefault="003E454B" w:rsidP="00CD0AE7">
            <w:pPr>
              <w:pStyle w:val="Tableheading"/>
            </w:pPr>
            <w:r>
              <w:t>Lead the development of Beyond Blue’s future state CX Blueprint</w:t>
            </w:r>
            <w:r w:rsidR="00242137">
              <w:t xml:space="preserve"> and community Journeys</w:t>
            </w:r>
          </w:p>
          <w:p w14:paraId="53D5E3F0" w14:textId="1BF99A99" w:rsidR="003E454B" w:rsidRDefault="003E454B" w:rsidP="003E454B">
            <w:pPr>
              <w:pStyle w:val="Bullets"/>
            </w:pPr>
            <w:r w:rsidRPr="003E454B">
              <w:t xml:space="preserve">Develop Beyond Blue’s CX objectives, that help us understand and optimize our performance against community expectations and needs. </w:t>
            </w:r>
          </w:p>
          <w:p w14:paraId="55920C7A" w14:textId="52CD0FC3" w:rsidR="003E454B" w:rsidRDefault="003E454B" w:rsidP="003E454B">
            <w:pPr>
              <w:pStyle w:val="Bullets"/>
            </w:pPr>
            <w:r w:rsidRPr="003E454B">
              <w:t xml:space="preserve">Support alignment of Beyond Blue’s objectives and ambition to our </w:t>
            </w:r>
            <w:r w:rsidR="00856815">
              <w:t xml:space="preserve">2023 </w:t>
            </w:r>
            <w:r w:rsidRPr="003E454B">
              <w:t xml:space="preserve">strategic pillars. </w:t>
            </w:r>
          </w:p>
          <w:p w14:paraId="0E797417" w14:textId="7B34C792" w:rsidR="003E454B" w:rsidRDefault="003E454B" w:rsidP="003E454B">
            <w:pPr>
              <w:pStyle w:val="Bullets"/>
            </w:pPr>
            <w:r w:rsidRPr="003E454B">
              <w:t xml:space="preserve">Connect our vision and principles to practical and measurable actions for people in our organization. </w:t>
            </w:r>
          </w:p>
          <w:p w14:paraId="6BA1C9DD" w14:textId="520FC66C" w:rsidR="003E454B" w:rsidRDefault="003E454B" w:rsidP="003E454B">
            <w:pPr>
              <w:pStyle w:val="Bullets"/>
            </w:pPr>
            <w:r w:rsidRPr="003E454B">
              <w:t xml:space="preserve">Collaborate with stakeholders across the business to design pragmatic solutions that balance desirability, feasibly and viability. </w:t>
            </w:r>
          </w:p>
          <w:p w14:paraId="66E28C16" w14:textId="77777777" w:rsidR="002073BF" w:rsidRDefault="003E454B" w:rsidP="003E454B">
            <w:pPr>
              <w:pStyle w:val="Bullets"/>
            </w:pPr>
            <w:r w:rsidRPr="003E454B">
              <w:t>Build out a cadence for CX-related education and communications within our design teams, internal partner teams and to leadership.</w:t>
            </w:r>
          </w:p>
          <w:p w14:paraId="39DA7270" w14:textId="0C47F4BE" w:rsidR="003E454B" w:rsidRDefault="003E454B" w:rsidP="003E454B">
            <w:pPr>
              <w:pStyle w:val="Bullets"/>
            </w:pPr>
            <w:r w:rsidRPr="003E454B">
              <w:t xml:space="preserve"> Operationalize our CX </w:t>
            </w:r>
            <w:r w:rsidR="00A670A2">
              <w:t>future state</w:t>
            </w:r>
            <w:r w:rsidRPr="003E454B">
              <w:t xml:space="preserve"> across our internal teams, partners, and organization</w:t>
            </w:r>
            <w:r w:rsidR="00242137">
              <w:t xml:space="preserve"> using a journey led approach</w:t>
            </w:r>
          </w:p>
          <w:p w14:paraId="6C82BF2E" w14:textId="05539ED4" w:rsidR="002073BF" w:rsidRDefault="003E454B" w:rsidP="003E454B">
            <w:pPr>
              <w:pStyle w:val="Bullets"/>
              <w:numPr>
                <w:ilvl w:val="0"/>
                <w:numId w:val="0"/>
              </w:numPr>
            </w:pPr>
            <w:r w:rsidRPr="003E454B">
              <w:rPr>
                <w:b/>
                <w:color w:val="0070F1"/>
                <w:sz w:val="24"/>
              </w:rPr>
              <w:t xml:space="preserve">Transform Beyond Blue’s CX </w:t>
            </w:r>
            <w:r w:rsidR="00A670A2" w:rsidRPr="003E454B">
              <w:rPr>
                <w:b/>
                <w:color w:val="0070F1"/>
                <w:sz w:val="24"/>
              </w:rPr>
              <w:t>capabilities.</w:t>
            </w:r>
            <w:r w:rsidRPr="003E454B">
              <w:rPr>
                <w:b/>
                <w:color w:val="0070F1"/>
                <w:sz w:val="24"/>
              </w:rPr>
              <w:t xml:space="preserve"> </w:t>
            </w:r>
            <w:r>
              <w:t xml:space="preserve"> </w:t>
            </w:r>
          </w:p>
          <w:p w14:paraId="7CC53DB4" w14:textId="77777777" w:rsidR="002073BF" w:rsidRDefault="003E454B" w:rsidP="002073BF">
            <w:pPr>
              <w:pStyle w:val="Bullets"/>
            </w:pPr>
            <w:r>
              <w:t xml:space="preserve">Champion the customer experience by utilising product, channels, touchpoints, user experiences, content, technology, data, and insights to deliver journey mapping. </w:t>
            </w:r>
          </w:p>
          <w:p w14:paraId="50241590" w14:textId="62D73670" w:rsidR="002073BF" w:rsidRDefault="003E454B" w:rsidP="002073BF">
            <w:pPr>
              <w:pStyle w:val="Bullets"/>
            </w:pPr>
            <w:r>
              <w:t>Support Beyond Blue teams to create clear customer journeys, using visual frameworks, software, and templates</w:t>
            </w:r>
            <w:r w:rsidR="002073BF">
              <w:t>.</w:t>
            </w:r>
            <w:r>
              <w:t xml:space="preserve"> </w:t>
            </w:r>
          </w:p>
          <w:p w14:paraId="27D22C69" w14:textId="44FE7BBB" w:rsidR="002073BF" w:rsidRDefault="003E454B" w:rsidP="002073BF">
            <w:pPr>
              <w:pStyle w:val="Bullets"/>
            </w:pPr>
            <w:r>
              <w:t xml:space="preserve">Assist prioritisation and development of journeys from discovery, through concept to delivery, aligning our lines of business and teams to ensure consistency of communication, content, design, and experience. </w:t>
            </w:r>
          </w:p>
          <w:p w14:paraId="40043523" w14:textId="77777777" w:rsidR="00A670A2" w:rsidRDefault="003E454B" w:rsidP="002073BF">
            <w:pPr>
              <w:pStyle w:val="Bullets"/>
            </w:pPr>
            <w:r>
              <w:lastRenderedPageBreak/>
              <w:t>Assemble relevant customer personas, insights and data and facilitate interviews, workshops, and design sessions to enable empathy-based journey mapping, identifying need-states, contexts, and opportunities to influence, change behaviours and beliefs.</w:t>
            </w:r>
          </w:p>
          <w:p w14:paraId="6AF21031" w14:textId="77777777" w:rsidR="00A670A2" w:rsidRDefault="003E454B" w:rsidP="002073BF">
            <w:pPr>
              <w:pStyle w:val="Bullets"/>
            </w:pPr>
            <w:r>
              <w:t xml:space="preserve"> Create research briefs and facilitate customer immersion workshops that will inform scope/definition of customer problem statements and input into service design projects.</w:t>
            </w:r>
          </w:p>
          <w:p w14:paraId="498D1B2A" w14:textId="77777777" w:rsidR="00A670A2" w:rsidRDefault="003E454B" w:rsidP="002073BF">
            <w:pPr>
              <w:pStyle w:val="Bullets"/>
            </w:pPr>
            <w:r>
              <w:t>Facilitate and oversee end to end design sprints and co-design sessions to rapidly ideate new and improved customer experiences.</w:t>
            </w:r>
          </w:p>
          <w:p w14:paraId="6E9E9B7A" w14:textId="77777777" w:rsidR="00A670A2" w:rsidRDefault="003E454B" w:rsidP="002073BF">
            <w:pPr>
              <w:pStyle w:val="Bullets"/>
            </w:pPr>
            <w:r>
              <w:t xml:space="preserve">Advocate and influence stakeholders to ensure engagement and alignment while delivering customer centric solutions. </w:t>
            </w:r>
          </w:p>
          <w:p w14:paraId="4ACC5ADC" w14:textId="7400DF76" w:rsidR="003E454B" w:rsidRDefault="003E454B" w:rsidP="002073BF">
            <w:pPr>
              <w:pStyle w:val="Bullets"/>
            </w:pPr>
            <w:r>
              <w:t>Use CX and UX design methodologies and tools, including design research and prototyping to create new and improved customer</w:t>
            </w:r>
            <w:r w:rsidR="00A670A2">
              <w:t xml:space="preserve"> experiences.</w:t>
            </w:r>
          </w:p>
          <w:p w14:paraId="7801AB8F" w14:textId="4DAB0C3D" w:rsidR="00A670A2" w:rsidRDefault="00A670A2" w:rsidP="00A670A2">
            <w:pPr>
              <w:pStyle w:val="Bullets"/>
              <w:numPr>
                <w:ilvl w:val="0"/>
                <w:numId w:val="0"/>
              </w:numPr>
              <w:rPr>
                <w:b/>
                <w:color w:val="0070F1"/>
                <w:sz w:val="24"/>
              </w:rPr>
            </w:pPr>
            <w:r w:rsidRPr="00A670A2">
              <w:rPr>
                <w:b/>
                <w:color w:val="0070F1"/>
                <w:sz w:val="24"/>
              </w:rPr>
              <w:t>Partner closely on CX improvement, measurement, evaluation, and monitoring programs with our partner teams.</w:t>
            </w:r>
          </w:p>
          <w:p w14:paraId="0E66C139" w14:textId="77777777" w:rsidR="00A670A2" w:rsidRPr="00A670A2" w:rsidRDefault="00A670A2" w:rsidP="00A670A2">
            <w:pPr>
              <w:pStyle w:val="Bullets"/>
              <w:rPr>
                <w:b/>
                <w:color w:val="0070F1"/>
                <w:sz w:val="24"/>
              </w:rPr>
            </w:pPr>
            <w:r>
              <w:t xml:space="preserve">Work alongside different teams across Beyond Blue to develop a CX Improvement program alongside our CX Improvement Specialist who will be responsible for the day-to-day management. </w:t>
            </w:r>
          </w:p>
          <w:p w14:paraId="00A14889" w14:textId="77777777" w:rsidR="00A670A2" w:rsidRPr="00A670A2" w:rsidRDefault="00A670A2" w:rsidP="00A670A2">
            <w:pPr>
              <w:pStyle w:val="Bullets"/>
              <w:rPr>
                <w:b/>
                <w:color w:val="0070F1"/>
                <w:sz w:val="24"/>
              </w:rPr>
            </w:pPr>
            <w:r>
              <w:t xml:space="preserve">Support to define desirability, feasibility, and viability of different opportunity areas, based on design research, existing data and business objectives. </w:t>
            </w:r>
          </w:p>
          <w:p w14:paraId="3325EA68" w14:textId="77777777" w:rsidR="00A670A2" w:rsidRPr="00A670A2" w:rsidRDefault="00A670A2" w:rsidP="00A670A2">
            <w:pPr>
              <w:pStyle w:val="Bullets"/>
              <w:rPr>
                <w:b/>
                <w:color w:val="0070F1"/>
                <w:sz w:val="24"/>
              </w:rPr>
            </w:pPr>
            <w:r>
              <w:t xml:space="preserve">Work alongside our CX Improvement Specialist, to define where to deep dive into our services, to build out a pipeline of tactical and strategic design initiatives. </w:t>
            </w:r>
          </w:p>
          <w:p w14:paraId="04AB54E7" w14:textId="75D2CD96" w:rsidR="00A670A2" w:rsidRDefault="00A670A2" w:rsidP="00A670A2">
            <w:pPr>
              <w:pStyle w:val="Bullets"/>
              <w:rPr>
                <w:b/>
                <w:color w:val="0070F1"/>
                <w:sz w:val="24"/>
              </w:rPr>
            </w:pPr>
            <w:r>
              <w:t>Through a CX improvement program, support to deepen engagement with our service users by improving their overarching journey and experience at each touchpoint.</w:t>
            </w:r>
          </w:p>
          <w:p w14:paraId="531809AB" w14:textId="77777777" w:rsidR="00A670A2" w:rsidRDefault="00A670A2" w:rsidP="00A670A2">
            <w:pPr>
              <w:pStyle w:val="Bullets"/>
              <w:numPr>
                <w:ilvl w:val="0"/>
                <w:numId w:val="0"/>
              </w:numPr>
              <w:rPr>
                <w:b/>
                <w:color w:val="0070F1"/>
                <w:sz w:val="24"/>
              </w:rPr>
            </w:pPr>
          </w:p>
          <w:p w14:paraId="60CE1EBD" w14:textId="77777777" w:rsidR="00A670A2" w:rsidRPr="00A670A2" w:rsidRDefault="00A670A2" w:rsidP="00A670A2">
            <w:pPr>
              <w:pStyle w:val="Bullets"/>
              <w:numPr>
                <w:ilvl w:val="0"/>
                <w:numId w:val="0"/>
              </w:numPr>
              <w:rPr>
                <w:b/>
                <w:color w:val="0070F1"/>
                <w:sz w:val="24"/>
              </w:rPr>
            </w:pPr>
          </w:p>
          <w:p w14:paraId="45014E6F" w14:textId="77777777" w:rsidR="00C54E98" w:rsidRDefault="00CC1E4C" w:rsidP="00CD0AE7">
            <w:pPr>
              <w:pStyle w:val="Bullets"/>
            </w:pPr>
            <w:r>
              <w:t>Key responsibilities</w:t>
            </w:r>
          </w:p>
          <w:p w14:paraId="2A1E3A55" w14:textId="77777777" w:rsidR="00CC1E4C" w:rsidRDefault="00C54E98" w:rsidP="00CD0AE7">
            <w:pPr>
              <w:pStyle w:val="Bullets"/>
            </w:pPr>
            <w:r>
              <w:t>performance measures</w:t>
            </w:r>
          </w:p>
          <w:p w14:paraId="6029D3F0" w14:textId="63BC7FF6" w:rsidR="00C54E98" w:rsidRDefault="00C54E98" w:rsidP="00CD0AE7">
            <w:pPr>
              <w:pStyle w:val="Bullets"/>
            </w:pPr>
            <w:r>
              <w:t>% of time</w:t>
            </w:r>
          </w:p>
        </w:tc>
      </w:tr>
      <w:tr w:rsidR="002C4D09" w14:paraId="649F00F8" w14:textId="77777777" w:rsidTr="00CD0AE7">
        <w:trPr>
          <w:trHeight w:val="228"/>
        </w:trPr>
        <w:tc>
          <w:tcPr>
            <w:tcW w:w="2830" w:type="dxa"/>
            <w:tcBorders>
              <w:top w:val="single" w:sz="2" w:space="0" w:color="0070F1"/>
            </w:tcBorders>
            <w:shd w:val="clear" w:color="auto" w:fill="E5F1FE" w:themeFill="accent5"/>
          </w:tcPr>
          <w:p w14:paraId="4FDF73D5" w14:textId="24D3E49C" w:rsidR="002C4D09" w:rsidRDefault="00EB5C82" w:rsidP="004C3889">
            <w:pPr>
              <w:pStyle w:val="Heading4"/>
              <w:framePr w:hSpace="0" w:wrap="auto" w:vAnchor="margin" w:yAlign="inline"/>
              <w:suppressOverlap w:val="0"/>
              <w:outlineLvl w:val="3"/>
            </w:pPr>
            <w:r>
              <w:lastRenderedPageBreak/>
              <w:t>Key stakeholders</w:t>
            </w:r>
          </w:p>
        </w:tc>
        <w:tc>
          <w:tcPr>
            <w:tcW w:w="6798" w:type="dxa"/>
            <w:gridSpan w:val="5"/>
            <w:tcBorders>
              <w:top w:val="single" w:sz="2" w:space="0" w:color="0070F1"/>
            </w:tcBorders>
            <w:shd w:val="clear" w:color="auto" w:fill="FFFFFF" w:themeFill="background1"/>
            <w:vAlign w:val="center"/>
          </w:tcPr>
          <w:p w14:paraId="5185E179" w14:textId="77777777" w:rsidR="00EB5C82" w:rsidRDefault="00EB5C82" w:rsidP="00CD0AE7">
            <w:pPr>
              <w:pStyle w:val="Tableheading"/>
            </w:pPr>
            <w:r>
              <w:t>Key stakeholders</w:t>
            </w:r>
          </w:p>
          <w:p w14:paraId="2E40FED4" w14:textId="1CC0A001" w:rsidR="00EB5C82" w:rsidRDefault="00EB5C82" w:rsidP="00CD0AE7">
            <w:pPr>
              <w:pStyle w:val="Tablesubheading"/>
            </w:pPr>
            <w:r>
              <w:t>Internal</w:t>
            </w:r>
          </w:p>
          <w:p w14:paraId="2C94942A" w14:textId="77777777" w:rsidR="00242137" w:rsidRDefault="00242137" w:rsidP="00242137">
            <w:pPr>
              <w:pStyle w:val="Bullets"/>
            </w:pPr>
            <w:r>
              <w:t xml:space="preserve">Community Engagement </w:t>
            </w:r>
          </w:p>
          <w:p w14:paraId="5B04D59D" w14:textId="77777777" w:rsidR="00242137" w:rsidRDefault="00242137" w:rsidP="00242137">
            <w:pPr>
              <w:pStyle w:val="Bullets"/>
            </w:pPr>
            <w:r>
              <w:t>Products and Services</w:t>
            </w:r>
          </w:p>
          <w:p w14:paraId="6383D760" w14:textId="77777777" w:rsidR="00242137" w:rsidRDefault="00242137" w:rsidP="00242137">
            <w:pPr>
              <w:pStyle w:val="Bullets"/>
            </w:pPr>
            <w:r>
              <w:t>Business Insights team</w:t>
            </w:r>
          </w:p>
          <w:p w14:paraId="53EA7AEE" w14:textId="77777777" w:rsidR="00242137" w:rsidRDefault="00242137" w:rsidP="00242137">
            <w:pPr>
              <w:pStyle w:val="Bullets"/>
            </w:pPr>
            <w:r>
              <w:t>Supports and Services Team</w:t>
            </w:r>
          </w:p>
          <w:p w14:paraId="657ADC5E" w14:textId="77777777" w:rsidR="00242137" w:rsidRDefault="00242137" w:rsidP="00242137">
            <w:pPr>
              <w:pStyle w:val="Bullets"/>
            </w:pPr>
            <w:r>
              <w:t>Strategy, Policy, and Reform Team</w:t>
            </w:r>
          </w:p>
          <w:p w14:paraId="3564EF2C" w14:textId="77777777" w:rsidR="00242137" w:rsidRDefault="00242137" w:rsidP="00242137">
            <w:pPr>
              <w:pStyle w:val="Bullets"/>
            </w:pPr>
            <w:r>
              <w:t xml:space="preserve">Office of the CEO </w:t>
            </w:r>
          </w:p>
          <w:p w14:paraId="7C382979" w14:textId="77777777" w:rsidR="00242137" w:rsidRDefault="00242137" w:rsidP="00242137">
            <w:pPr>
              <w:pStyle w:val="Bullets"/>
            </w:pPr>
            <w:r>
              <w:t>Communication and Change Team</w:t>
            </w:r>
          </w:p>
          <w:p w14:paraId="119BF388" w14:textId="77777777" w:rsidR="00242137" w:rsidRDefault="00242137" w:rsidP="00242137">
            <w:pPr>
              <w:pStyle w:val="Bullets"/>
              <w:numPr>
                <w:ilvl w:val="0"/>
                <w:numId w:val="0"/>
              </w:numPr>
              <w:ind w:left="360"/>
            </w:pPr>
          </w:p>
          <w:p w14:paraId="26DA6387" w14:textId="77777777" w:rsidR="00242137" w:rsidRDefault="00242137" w:rsidP="00242137">
            <w:pPr>
              <w:pStyle w:val="Tablesubheading"/>
            </w:pPr>
            <w:r>
              <w:t>External</w:t>
            </w:r>
          </w:p>
          <w:p w14:paraId="2328F196" w14:textId="77777777" w:rsidR="00242137" w:rsidRDefault="00242137" w:rsidP="00242137">
            <w:pPr>
              <w:pStyle w:val="Bullets"/>
            </w:pPr>
            <w:r>
              <w:t>Service Partners</w:t>
            </w:r>
          </w:p>
          <w:p w14:paraId="74C8BC2A" w14:textId="77777777" w:rsidR="00242137" w:rsidRDefault="00242137" w:rsidP="00242137">
            <w:pPr>
              <w:pStyle w:val="Bullets"/>
            </w:pPr>
            <w:r>
              <w:t>Community Partners</w:t>
            </w:r>
          </w:p>
          <w:p w14:paraId="24C71830" w14:textId="53E78BB2" w:rsidR="00924842" w:rsidRDefault="00242137" w:rsidP="00242137">
            <w:pPr>
              <w:pStyle w:val="Bullets"/>
            </w:pPr>
            <w:r>
              <w:t>Community Members</w:t>
            </w:r>
          </w:p>
          <w:p w14:paraId="002080AC" w14:textId="60EAE7AC" w:rsidR="002C4D09" w:rsidRDefault="00242137" w:rsidP="00CD0AE7">
            <w:pPr>
              <w:pStyle w:val="Tablesubheading"/>
            </w:pPr>
            <w:r>
              <w:lastRenderedPageBreak/>
              <w:t xml:space="preserve"> </w:t>
            </w:r>
          </w:p>
          <w:p w14:paraId="0B1CA2D2" w14:textId="392FF6EC" w:rsidR="00924842" w:rsidRDefault="00924842" w:rsidP="00CD0AE7">
            <w:pPr>
              <w:pStyle w:val="Bullets"/>
            </w:pPr>
          </w:p>
        </w:tc>
      </w:tr>
      <w:tr w:rsidR="003E45A4" w14:paraId="22AF8158" w14:textId="77777777" w:rsidTr="00CD0AE7">
        <w:trPr>
          <w:trHeight w:val="569"/>
        </w:trPr>
        <w:tc>
          <w:tcPr>
            <w:tcW w:w="9628" w:type="dxa"/>
            <w:gridSpan w:val="6"/>
            <w:shd w:val="clear" w:color="auto" w:fill="FFFFFF" w:themeFill="background1"/>
            <w:vAlign w:val="center"/>
          </w:tcPr>
          <w:p w14:paraId="28716EAC" w14:textId="4F1C8556" w:rsidR="003E45A4" w:rsidRDefault="001D313D" w:rsidP="00CD0AE7">
            <w:pPr>
              <w:pStyle w:val="Tableheading"/>
            </w:pPr>
            <w:r>
              <w:lastRenderedPageBreak/>
              <w:t>What we are looking for</w:t>
            </w:r>
          </w:p>
        </w:tc>
      </w:tr>
      <w:tr w:rsidR="003E45A4" w14:paraId="7BDFE60A" w14:textId="77777777" w:rsidTr="00CD0AE7">
        <w:trPr>
          <w:trHeight w:val="231"/>
        </w:trPr>
        <w:tc>
          <w:tcPr>
            <w:tcW w:w="2830" w:type="dxa"/>
            <w:tcBorders>
              <w:top w:val="single" w:sz="2" w:space="0" w:color="0070F1"/>
            </w:tcBorders>
            <w:shd w:val="clear" w:color="auto" w:fill="E5F1FE" w:themeFill="accent5"/>
          </w:tcPr>
          <w:p w14:paraId="4201E409" w14:textId="7F6CED12" w:rsidR="003E45A4" w:rsidRDefault="001F4E8D" w:rsidP="004C3889">
            <w:pPr>
              <w:pStyle w:val="Heading4"/>
              <w:framePr w:hSpace="0" w:wrap="auto" w:vAnchor="margin" w:yAlign="inline"/>
              <w:suppressOverlap w:val="0"/>
              <w:outlineLvl w:val="3"/>
            </w:pPr>
            <w:r>
              <w:t>Capability</w:t>
            </w:r>
          </w:p>
        </w:tc>
        <w:tc>
          <w:tcPr>
            <w:tcW w:w="6798" w:type="dxa"/>
            <w:gridSpan w:val="5"/>
            <w:tcBorders>
              <w:top w:val="single" w:sz="2" w:space="0" w:color="0070F1"/>
            </w:tcBorders>
            <w:shd w:val="clear" w:color="auto" w:fill="FFFFFF" w:themeFill="background1"/>
            <w:vAlign w:val="center"/>
          </w:tcPr>
          <w:p w14:paraId="33AB5011" w14:textId="77777777" w:rsidR="00D056DD" w:rsidRPr="00CF24B7" w:rsidRDefault="00D056DD" w:rsidP="00CF24B7">
            <w:pPr>
              <w:pStyle w:val="paragraph"/>
              <w:spacing w:before="120" w:beforeAutospacing="0" w:after="120" w:afterAutospacing="0"/>
              <w:textAlignment w:val="baseline"/>
              <w:rPr>
                <w:rFonts w:asciiTheme="minorHAnsi" w:eastAsiaTheme="minorEastAsia" w:hAnsiTheme="minorHAnsi" w:cstheme="minorHAnsi"/>
                <w:sz w:val="22"/>
                <w:szCs w:val="22"/>
                <w:lang w:eastAsia="en-US"/>
              </w:rPr>
            </w:pPr>
            <w:r>
              <w:rPr>
                <w:rFonts w:asciiTheme="minorHAnsi" w:eastAsiaTheme="minorEastAsia" w:hAnsiTheme="minorHAnsi" w:cstheme="minorBidi"/>
                <w:sz w:val="22"/>
                <w:szCs w:val="22"/>
                <w:lang w:eastAsia="en-US"/>
              </w:rPr>
              <w:t xml:space="preserve">Of the eight capabilities listed in our </w:t>
            </w:r>
            <w:r w:rsidRPr="00876C73">
              <w:rPr>
                <w:rFonts w:asciiTheme="minorHAnsi" w:eastAsiaTheme="minorEastAsia" w:hAnsiTheme="minorHAnsi" w:cstheme="minorBidi"/>
                <w:sz w:val="22"/>
                <w:szCs w:val="22"/>
                <w:u w:val="single"/>
                <w:lang w:eastAsia="en-US"/>
              </w:rPr>
              <w:t>capability framework</w:t>
            </w:r>
            <w:r>
              <w:rPr>
                <w:rFonts w:asciiTheme="minorHAnsi" w:eastAsiaTheme="minorEastAsia" w:hAnsiTheme="minorHAnsi" w:cstheme="minorBidi"/>
                <w:sz w:val="22"/>
                <w:szCs w:val="22"/>
                <w:lang w:eastAsia="en-US"/>
              </w:rPr>
              <w:t xml:space="preserve">, the following behaviours are critical for role success (must already be demonstrating at </w:t>
            </w:r>
            <w:r w:rsidRPr="00CF24B7">
              <w:rPr>
                <w:rFonts w:asciiTheme="minorHAnsi" w:eastAsiaTheme="minorEastAsia" w:hAnsiTheme="minorHAnsi" w:cstheme="minorHAnsi"/>
                <w:sz w:val="22"/>
                <w:szCs w:val="22"/>
                <w:lang w:eastAsia="en-US"/>
              </w:rPr>
              <w:t>the expected competence to step into the role)</w:t>
            </w:r>
          </w:p>
          <w:p w14:paraId="6A1634C1" w14:textId="77777777" w:rsidR="00CF24B7" w:rsidRPr="00CF24B7" w:rsidRDefault="00CF24B7" w:rsidP="00CF24B7">
            <w:pPr>
              <w:spacing w:before="120"/>
              <w:rPr>
                <w:rFonts w:cstheme="minorHAnsi"/>
                <w:b/>
                <w:bCs/>
              </w:rPr>
            </w:pPr>
            <w:r w:rsidRPr="00CF24B7">
              <w:rPr>
                <w:rFonts w:cstheme="minorHAnsi"/>
                <w:b/>
                <w:bCs/>
              </w:rPr>
              <w:t>Communication</w:t>
            </w:r>
          </w:p>
          <w:p w14:paraId="70F2D269" w14:textId="77777777" w:rsidR="00CF24B7" w:rsidRPr="00CF24B7" w:rsidRDefault="00CF24B7" w:rsidP="00CF24B7">
            <w:pPr>
              <w:pStyle w:val="Bullets"/>
            </w:pPr>
            <w:r w:rsidRPr="00CF24B7">
              <w:t>Takes the lead in creating an environment that encourages open and honest communication and constructive debate</w:t>
            </w:r>
          </w:p>
          <w:p w14:paraId="2E7F017A" w14:textId="61A7909C" w:rsidR="00CF24B7" w:rsidRPr="00CF24B7" w:rsidRDefault="00CF24B7" w:rsidP="00CF24B7">
            <w:pPr>
              <w:pStyle w:val="Bullets"/>
            </w:pPr>
            <w:r w:rsidRPr="00CF24B7">
              <w:t>Negotiates and respectfully resolves conflict with stakeholders from a range of backgrounds and cultures and gains commitment from stakeholders</w:t>
            </w:r>
            <w:r w:rsidR="00242137">
              <w:t>.</w:t>
            </w:r>
          </w:p>
          <w:p w14:paraId="59687E8F" w14:textId="77777777" w:rsidR="00CF24B7" w:rsidRPr="00CF24B7" w:rsidRDefault="00CF24B7" w:rsidP="00CF24B7">
            <w:pPr>
              <w:pStyle w:val="Bullets"/>
            </w:pPr>
            <w:r w:rsidRPr="00CF24B7">
              <w:t>Communicates well-crafted plans or memorable stories to inspire action; Demonstrates integrity by actioning promises</w:t>
            </w:r>
          </w:p>
          <w:p w14:paraId="18CC1A9B" w14:textId="77777777" w:rsidR="00CF24B7" w:rsidRPr="00CF24B7" w:rsidRDefault="00CF24B7" w:rsidP="00CF24B7">
            <w:pPr>
              <w:pStyle w:val="Bullets"/>
            </w:pPr>
            <w:r w:rsidRPr="00CF24B7">
              <w:t>Articulates the value-add and draws out the organisation’s purpose in conversation with others</w:t>
            </w:r>
          </w:p>
          <w:p w14:paraId="692559F0" w14:textId="77777777" w:rsidR="00CF24B7" w:rsidRPr="00CF24B7" w:rsidRDefault="00CF24B7" w:rsidP="00CF24B7">
            <w:pPr>
              <w:pStyle w:val="Bullets"/>
            </w:pPr>
            <w:r w:rsidRPr="00CF24B7">
              <w:t>Enthusiastically celebrates success through presenting showcases</w:t>
            </w:r>
          </w:p>
          <w:p w14:paraId="58F83DC7" w14:textId="77777777" w:rsidR="00CF24B7" w:rsidRPr="00CF24B7" w:rsidRDefault="00CF24B7" w:rsidP="00CF24B7">
            <w:pPr>
              <w:spacing w:before="120"/>
              <w:rPr>
                <w:rFonts w:cstheme="minorHAnsi"/>
                <w:b/>
                <w:bCs/>
              </w:rPr>
            </w:pPr>
            <w:r w:rsidRPr="00CF24B7">
              <w:rPr>
                <w:rFonts w:cstheme="minorHAnsi"/>
                <w:b/>
                <w:bCs/>
              </w:rPr>
              <w:t xml:space="preserve">Community centricity </w:t>
            </w:r>
          </w:p>
          <w:p w14:paraId="4666E338" w14:textId="77777777" w:rsidR="00CF24B7" w:rsidRPr="00CF24B7" w:rsidRDefault="00CF24B7" w:rsidP="00CF24B7">
            <w:pPr>
              <w:pStyle w:val="Bullets"/>
            </w:pPr>
            <w:r w:rsidRPr="00CF24B7">
              <w:t xml:space="preserve">Sponsors initiatives that bring together community voices, </w:t>
            </w:r>
            <w:proofErr w:type="gramStart"/>
            <w:r w:rsidRPr="00CF24B7">
              <w:t>employees</w:t>
            </w:r>
            <w:proofErr w:type="gramEnd"/>
            <w:r w:rsidRPr="00CF24B7">
              <w:t xml:space="preserve"> and stakeholders</w:t>
            </w:r>
          </w:p>
          <w:p w14:paraId="7427B2B5" w14:textId="77777777" w:rsidR="00CF24B7" w:rsidRPr="00CF24B7" w:rsidRDefault="00CF24B7" w:rsidP="00CF24B7">
            <w:pPr>
              <w:pStyle w:val="Bullets"/>
            </w:pPr>
            <w:r w:rsidRPr="00CF24B7">
              <w:t>Develops systemic approaches within work for involving and accommodating people with lived experience and diverse backgrounds</w:t>
            </w:r>
          </w:p>
          <w:p w14:paraId="31FFC204" w14:textId="77777777" w:rsidR="00CF24B7" w:rsidRPr="00CF24B7" w:rsidRDefault="00CF24B7" w:rsidP="00CF24B7">
            <w:pPr>
              <w:pStyle w:val="Bullets"/>
            </w:pPr>
            <w:r w:rsidRPr="00CF24B7">
              <w:t>Identifies or champions viable product and service enhancements and excellence to meet evolving mental health and suicide prevention needs, ensuring the balance of current and future community and business sustainability </w:t>
            </w:r>
          </w:p>
          <w:p w14:paraId="3BC2DB76" w14:textId="71DD88A0" w:rsidR="00CF24B7" w:rsidRPr="00CF24B7" w:rsidRDefault="00CF24B7" w:rsidP="00CF24B7">
            <w:pPr>
              <w:pStyle w:val="Bullets"/>
            </w:pPr>
            <w:r w:rsidRPr="00CF24B7">
              <w:t>Reviews outcomes of community engagements to ensure future developments and practices are ethical, relevant and support community voice, experience and needs</w:t>
            </w:r>
            <w:r w:rsidR="002073BF">
              <w:t>.</w:t>
            </w:r>
          </w:p>
          <w:p w14:paraId="3D6A06B3" w14:textId="77777777" w:rsidR="00CF24B7" w:rsidRPr="00CF24B7" w:rsidRDefault="00CF24B7" w:rsidP="00CF24B7">
            <w:pPr>
              <w:pStyle w:val="Bullets"/>
            </w:pPr>
            <w:r w:rsidRPr="00CF24B7">
              <w:t>Influences our policy positions and advocacy efforts using community insights and research</w:t>
            </w:r>
          </w:p>
          <w:p w14:paraId="278FC9C9" w14:textId="77777777" w:rsidR="00CF24B7" w:rsidRPr="00CF24B7" w:rsidRDefault="00CF24B7" w:rsidP="00CF24B7">
            <w:pPr>
              <w:spacing w:before="120"/>
              <w:rPr>
                <w:rFonts w:cstheme="minorHAnsi"/>
                <w:b/>
                <w:bCs/>
              </w:rPr>
            </w:pPr>
            <w:r w:rsidRPr="00CF24B7">
              <w:rPr>
                <w:rFonts w:cstheme="minorHAnsi"/>
                <w:b/>
                <w:bCs/>
              </w:rPr>
              <w:t>Innovative mindset</w:t>
            </w:r>
          </w:p>
          <w:p w14:paraId="523CE5CE" w14:textId="77777777" w:rsidR="00CF24B7" w:rsidRPr="00CF24B7" w:rsidRDefault="00CF24B7" w:rsidP="00CF24B7">
            <w:pPr>
              <w:pStyle w:val="Bullets"/>
            </w:pPr>
            <w:r w:rsidRPr="00CF24B7">
              <w:t>Uses evidence-informed approaches to identify community driven opportunities and exercises sound judgement in prioritising ideas likely to add value</w:t>
            </w:r>
          </w:p>
          <w:p w14:paraId="0548FC1C" w14:textId="77777777" w:rsidR="00CF24B7" w:rsidRPr="00CF24B7" w:rsidRDefault="00CF24B7" w:rsidP="00CF24B7">
            <w:pPr>
              <w:pStyle w:val="Bullets"/>
            </w:pPr>
            <w:r w:rsidRPr="00CF24B7">
              <w:t>Champions a culture of innovation excellence in which new ideas are encouraged, mistakes in the pursuit of advancement are accepted, and new solutions are tested</w:t>
            </w:r>
          </w:p>
          <w:p w14:paraId="5BFC83B4" w14:textId="77777777" w:rsidR="00CF24B7" w:rsidRPr="00CF24B7" w:rsidRDefault="00CF24B7" w:rsidP="00CF24B7">
            <w:pPr>
              <w:pStyle w:val="Bullets"/>
            </w:pPr>
            <w:r w:rsidRPr="00CF24B7">
              <w:t>Thinks strategically and anticipates future changes in external environment relevant to Beyond Blue to inform innovation and change strategies </w:t>
            </w:r>
          </w:p>
          <w:p w14:paraId="01557FD0" w14:textId="77777777" w:rsidR="00CF24B7" w:rsidRPr="00CF24B7" w:rsidRDefault="00CF24B7" w:rsidP="00CF24B7">
            <w:pPr>
              <w:pStyle w:val="Bullets"/>
            </w:pPr>
            <w:r w:rsidRPr="00CF24B7">
              <w:t>Identifies and mitigates enterprise risks that may impede success of innovations</w:t>
            </w:r>
          </w:p>
          <w:p w14:paraId="481505DC" w14:textId="77777777" w:rsidR="00CF24B7" w:rsidRPr="00CF24B7" w:rsidRDefault="00CF24B7" w:rsidP="00CF24B7">
            <w:pPr>
              <w:pStyle w:val="Bullets"/>
            </w:pPr>
            <w:r w:rsidRPr="00CF24B7">
              <w:lastRenderedPageBreak/>
              <w:t>Leverages external insights, innovation and thought leadership for the benefit of the organisation and community </w:t>
            </w:r>
          </w:p>
          <w:p w14:paraId="698EA4B5" w14:textId="77777777" w:rsidR="00CF24B7" w:rsidRPr="00CF24B7" w:rsidRDefault="00CF24B7" w:rsidP="00CF24B7">
            <w:pPr>
              <w:spacing w:before="120"/>
              <w:rPr>
                <w:rFonts w:cstheme="minorHAnsi"/>
                <w:b/>
                <w:bCs/>
              </w:rPr>
            </w:pPr>
            <w:r w:rsidRPr="00CF24B7">
              <w:rPr>
                <w:rFonts w:cstheme="minorHAnsi"/>
                <w:b/>
                <w:bCs/>
              </w:rPr>
              <w:t>Digital discovery</w:t>
            </w:r>
          </w:p>
          <w:p w14:paraId="2051AC9E" w14:textId="77777777" w:rsidR="00CF24B7" w:rsidRPr="00CF24B7" w:rsidRDefault="00CF24B7" w:rsidP="00CF24B7">
            <w:pPr>
              <w:pStyle w:val="Bullets"/>
            </w:pPr>
            <w:r w:rsidRPr="00CF24B7">
              <w:t>Champions the use of technology to enable greater customer service excellence and community engagement, generates buy-in for Beyond Blue’s digital strategies </w:t>
            </w:r>
          </w:p>
          <w:p w14:paraId="7857DC59" w14:textId="77777777" w:rsidR="00CF24B7" w:rsidRPr="00CF24B7" w:rsidRDefault="00CF24B7" w:rsidP="00CF24B7">
            <w:pPr>
              <w:pStyle w:val="Bullets"/>
            </w:pPr>
            <w:r w:rsidRPr="00CF24B7">
              <w:t>Leads the standardisation and digitisation of core processes in own area</w:t>
            </w:r>
          </w:p>
          <w:p w14:paraId="5DAD2FF3" w14:textId="77777777" w:rsidR="00CF24B7" w:rsidRPr="00CF24B7" w:rsidRDefault="00CF24B7" w:rsidP="00CF24B7">
            <w:pPr>
              <w:pStyle w:val="Bullets"/>
            </w:pPr>
            <w:r w:rsidRPr="00CF24B7">
              <w:t>Managing risks associated with digital safety to protect community and employee data and the Beyond Blue brand</w:t>
            </w:r>
          </w:p>
          <w:p w14:paraId="58157397" w14:textId="77777777" w:rsidR="00CF24B7" w:rsidRPr="00CF24B7" w:rsidRDefault="00CF24B7" w:rsidP="00CF24B7">
            <w:pPr>
              <w:pStyle w:val="Bullets"/>
            </w:pPr>
            <w:r w:rsidRPr="00CF24B7">
              <w:t>Champions a digital experience to provide the community and employees with easy-to-access information and digital tools supportive of a hybrid environment that are accessible to CALD users</w:t>
            </w:r>
          </w:p>
          <w:p w14:paraId="4A003A6D" w14:textId="77777777" w:rsidR="00CF24B7" w:rsidRPr="00CF24B7" w:rsidRDefault="00CF24B7" w:rsidP="00CF24B7">
            <w:pPr>
              <w:pStyle w:val="Bullets"/>
            </w:pPr>
            <w:r w:rsidRPr="00CF24B7">
              <w:t>Sets up and views s data analytics regularly to draw insights on strategic progress and forecast future decisions </w:t>
            </w:r>
          </w:p>
          <w:p w14:paraId="05CE47E2" w14:textId="77777777" w:rsidR="00CF24B7" w:rsidRPr="00CF24B7" w:rsidRDefault="00CF24B7" w:rsidP="00CF24B7">
            <w:pPr>
              <w:spacing w:before="120"/>
              <w:rPr>
                <w:rFonts w:cstheme="minorHAnsi"/>
                <w:b/>
                <w:bCs/>
              </w:rPr>
            </w:pPr>
            <w:r w:rsidRPr="00CF24B7">
              <w:rPr>
                <w:rFonts w:cstheme="minorHAnsi"/>
                <w:b/>
                <w:bCs/>
              </w:rPr>
              <w:t>Partnering</w:t>
            </w:r>
          </w:p>
          <w:p w14:paraId="55A86C3C" w14:textId="77777777" w:rsidR="00CF24B7" w:rsidRPr="00CF24B7" w:rsidRDefault="00CF24B7" w:rsidP="00CF24B7">
            <w:pPr>
              <w:pStyle w:val="Bullets"/>
            </w:pPr>
            <w:r w:rsidRPr="00CF24B7">
              <w:t xml:space="preserve">Looks for a strong business case when formulating partnering strategies based on an in-depth understanding of sector issues, </w:t>
            </w:r>
            <w:proofErr w:type="gramStart"/>
            <w:r w:rsidRPr="00CF24B7">
              <w:t>trends</w:t>
            </w:r>
            <w:proofErr w:type="gramEnd"/>
            <w:r w:rsidRPr="00CF24B7">
              <w:t xml:space="preserve"> and environment</w:t>
            </w:r>
          </w:p>
          <w:p w14:paraId="394D3069" w14:textId="77777777" w:rsidR="00CF24B7" w:rsidRPr="00CF24B7" w:rsidRDefault="00CF24B7" w:rsidP="00CF24B7">
            <w:pPr>
              <w:pStyle w:val="Bullets"/>
            </w:pPr>
            <w:r w:rsidRPr="00CF24B7">
              <w:t xml:space="preserve">Ensures engagement with partners is based on shared values and is purposeful, inclusive, </w:t>
            </w:r>
            <w:proofErr w:type="gramStart"/>
            <w:r w:rsidRPr="00CF24B7">
              <w:t>transparent</w:t>
            </w:r>
            <w:proofErr w:type="gramEnd"/>
            <w:r w:rsidRPr="00CF24B7">
              <w:t xml:space="preserve"> and respectful</w:t>
            </w:r>
          </w:p>
          <w:p w14:paraId="6146F439" w14:textId="77777777" w:rsidR="00CF24B7" w:rsidRPr="00CF24B7" w:rsidRDefault="00CF24B7" w:rsidP="00CF24B7">
            <w:pPr>
              <w:pStyle w:val="Bullets"/>
            </w:pPr>
            <w:r w:rsidRPr="00CF24B7">
              <w:t>Establishes funding strategies that support a sustainable and diverse funding base including management of large-scale budgets and demonstrated ROI </w:t>
            </w:r>
          </w:p>
          <w:p w14:paraId="7A1424DE" w14:textId="77777777" w:rsidR="00CF24B7" w:rsidRPr="00CF24B7" w:rsidRDefault="00CF24B7" w:rsidP="00CF24B7">
            <w:pPr>
              <w:pStyle w:val="Bullets"/>
            </w:pPr>
            <w:r w:rsidRPr="00CF24B7">
              <w:t xml:space="preserve">Fosters collaborations across the ecosystem (communities, sector organisations, </w:t>
            </w:r>
            <w:proofErr w:type="gramStart"/>
            <w:r w:rsidRPr="00CF24B7">
              <w:t>governments</w:t>
            </w:r>
            <w:proofErr w:type="gramEnd"/>
            <w:r w:rsidRPr="00CF24B7">
              <w:t xml:space="preserve"> and researchers) to better discover partnerships that improve mental health and reduce suicide</w:t>
            </w:r>
          </w:p>
          <w:p w14:paraId="71D743A5" w14:textId="77777777" w:rsidR="00CF24B7" w:rsidRPr="00CF24B7" w:rsidRDefault="00CF24B7" w:rsidP="00CF24B7">
            <w:pPr>
              <w:pStyle w:val="Bullets"/>
            </w:pPr>
            <w:r w:rsidRPr="00CF24B7">
              <w:t>Uses partnerships to influence our policy positions and advocacy efforts to improve mental health and reduce suicide</w:t>
            </w:r>
          </w:p>
          <w:p w14:paraId="6A4AF977" w14:textId="77777777" w:rsidR="00CF24B7" w:rsidRPr="00CF24B7" w:rsidRDefault="00CF24B7" w:rsidP="00CF24B7">
            <w:pPr>
              <w:spacing w:before="120"/>
              <w:rPr>
                <w:rFonts w:cstheme="minorHAnsi"/>
                <w:b/>
                <w:bCs/>
              </w:rPr>
            </w:pPr>
            <w:r w:rsidRPr="00CF24B7">
              <w:rPr>
                <w:rFonts w:cstheme="minorHAnsi"/>
                <w:b/>
                <w:bCs/>
              </w:rPr>
              <w:t>Agility</w:t>
            </w:r>
          </w:p>
          <w:p w14:paraId="5951330E" w14:textId="77777777" w:rsidR="00CF24B7" w:rsidRPr="00CF24B7" w:rsidRDefault="00CF24B7" w:rsidP="00CF24B7">
            <w:pPr>
              <w:pStyle w:val="Bullets"/>
            </w:pPr>
            <w:r w:rsidRPr="00CF24B7">
              <w:t>Builds agility into the design of work and the culture of Beyond Blue</w:t>
            </w:r>
          </w:p>
          <w:p w14:paraId="1B207E59" w14:textId="77777777" w:rsidR="00CF24B7" w:rsidRPr="00CF24B7" w:rsidRDefault="00CF24B7" w:rsidP="00CF24B7">
            <w:pPr>
              <w:pStyle w:val="Bullets"/>
            </w:pPr>
            <w:r w:rsidRPr="00CF24B7">
              <w:t xml:space="preserve">Leads people through the change journey, defining a clear, </w:t>
            </w:r>
            <w:proofErr w:type="gramStart"/>
            <w:r w:rsidRPr="00CF24B7">
              <w:t>shared</w:t>
            </w:r>
            <w:proofErr w:type="gramEnd"/>
            <w:r w:rsidRPr="00CF24B7">
              <w:t xml:space="preserve"> and compelling purpose that instils our core values</w:t>
            </w:r>
          </w:p>
          <w:p w14:paraId="489BE324" w14:textId="77777777" w:rsidR="00CF24B7" w:rsidRPr="00CF24B7" w:rsidRDefault="00CF24B7" w:rsidP="00CF24B7">
            <w:pPr>
              <w:pStyle w:val="Bullets"/>
            </w:pPr>
            <w:r w:rsidRPr="00CF24B7">
              <w:t>Anticipates changes in the internal and external environment and drives change so that the organisation may adapt</w:t>
            </w:r>
          </w:p>
          <w:p w14:paraId="1F65A882" w14:textId="77777777" w:rsidR="00CF24B7" w:rsidRPr="00CF24B7" w:rsidRDefault="00CF24B7" w:rsidP="00CF24B7">
            <w:pPr>
              <w:pStyle w:val="Bullets"/>
            </w:pPr>
            <w:r w:rsidRPr="00CF24B7">
              <w:t>Tolerates ambiguity or uncertainty, communicating steadiness during difficult times</w:t>
            </w:r>
          </w:p>
          <w:p w14:paraId="19FE4132" w14:textId="77777777" w:rsidR="00CF24B7" w:rsidRPr="00CF24B7" w:rsidRDefault="00CF24B7" w:rsidP="00CF24B7">
            <w:pPr>
              <w:pStyle w:val="Bullets"/>
            </w:pPr>
            <w:r w:rsidRPr="00CF24B7">
              <w:t>Lifts others to successfully resolve problems and maintain productivity in uncertain and turbulent environments</w:t>
            </w:r>
          </w:p>
          <w:p w14:paraId="4A17D6F5" w14:textId="77777777" w:rsidR="00CF24B7" w:rsidRPr="00CF24B7" w:rsidRDefault="00CF24B7" w:rsidP="00CF24B7">
            <w:pPr>
              <w:spacing w:before="120"/>
              <w:rPr>
                <w:rFonts w:cstheme="minorHAnsi"/>
                <w:b/>
                <w:bCs/>
              </w:rPr>
            </w:pPr>
            <w:r w:rsidRPr="00CF24B7">
              <w:rPr>
                <w:rFonts w:cstheme="minorHAnsi"/>
                <w:b/>
                <w:bCs/>
              </w:rPr>
              <w:t>Critical thinking</w:t>
            </w:r>
          </w:p>
          <w:p w14:paraId="0F9E4CE6" w14:textId="77777777" w:rsidR="00CF24B7" w:rsidRPr="00CF24B7" w:rsidRDefault="00CF24B7" w:rsidP="00CF24B7">
            <w:pPr>
              <w:pStyle w:val="Bullets"/>
            </w:pPr>
            <w:r w:rsidRPr="00CF24B7">
              <w:t>Drives long term direction and sets organisational goals; ensures team is well connected to the organisational strategy</w:t>
            </w:r>
          </w:p>
          <w:p w14:paraId="46F8C981" w14:textId="77777777" w:rsidR="00CF24B7" w:rsidRPr="00CF24B7" w:rsidRDefault="00CF24B7" w:rsidP="00CF24B7">
            <w:pPr>
              <w:pStyle w:val="Bullets"/>
            </w:pPr>
            <w:r w:rsidRPr="00CF24B7">
              <w:t>Takes an enterprise perspective that considers long-term impact and return on investment when developing strategies or prioritising initiatives</w:t>
            </w:r>
          </w:p>
          <w:p w14:paraId="51572B4F" w14:textId="77777777" w:rsidR="00CF24B7" w:rsidRPr="00CF24B7" w:rsidRDefault="00CF24B7" w:rsidP="00CF24B7">
            <w:pPr>
              <w:pStyle w:val="Bullets"/>
            </w:pPr>
            <w:r w:rsidRPr="00CF24B7">
              <w:lastRenderedPageBreak/>
              <w:t>Displays extensive knowledge of mental health system components (or corporate services) and employs strategic thinking to leverage these relationships</w:t>
            </w:r>
          </w:p>
          <w:p w14:paraId="1825608D" w14:textId="77777777" w:rsidR="00CF24B7" w:rsidRPr="00CF24B7" w:rsidRDefault="00CF24B7" w:rsidP="00CF24B7">
            <w:pPr>
              <w:pStyle w:val="Bullets"/>
            </w:pPr>
            <w:r w:rsidRPr="00CF24B7">
              <w:t>Removes barriers in decision making processes and creates avenues that support and enable quality, evidence-informed decisions </w:t>
            </w:r>
          </w:p>
          <w:p w14:paraId="6CF5B572" w14:textId="77777777" w:rsidR="00CF24B7" w:rsidRPr="00CF24B7" w:rsidRDefault="00CF24B7" w:rsidP="00CF24B7">
            <w:pPr>
              <w:pStyle w:val="Bullets"/>
            </w:pPr>
            <w:r w:rsidRPr="00CF24B7">
              <w:t>Manages governance risks including clinical risk associated with implementation of new solutions</w:t>
            </w:r>
          </w:p>
          <w:p w14:paraId="293EC768" w14:textId="77777777" w:rsidR="00CF24B7" w:rsidRPr="00CF24B7" w:rsidRDefault="00CF24B7" w:rsidP="00CF24B7">
            <w:pPr>
              <w:spacing w:before="120"/>
              <w:rPr>
                <w:rFonts w:cstheme="minorHAnsi"/>
                <w:b/>
                <w:bCs/>
              </w:rPr>
            </w:pPr>
            <w:r w:rsidRPr="00CF24B7">
              <w:rPr>
                <w:rFonts w:cstheme="minorHAnsi"/>
                <w:b/>
                <w:bCs/>
              </w:rPr>
              <w:t>Leading</w:t>
            </w:r>
          </w:p>
          <w:p w14:paraId="6874B752" w14:textId="77777777" w:rsidR="00CF24B7" w:rsidRPr="00CF24B7" w:rsidRDefault="00CF24B7" w:rsidP="00CF24B7">
            <w:pPr>
              <w:pStyle w:val="Bullets"/>
            </w:pPr>
            <w:r w:rsidRPr="00CF24B7">
              <w:t xml:space="preserve">Inspires and aligns people behind a shared vision and purpose for team, </w:t>
            </w:r>
            <w:proofErr w:type="gramStart"/>
            <w:r w:rsidRPr="00CF24B7">
              <w:t>function</w:t>
            </w:r>
            <w:proofErr w:type="gramEnd"/>
            <w:r w:rsidRPr="00CF24B7">
              <w:t xml:space="preserve"> and broader organisation; sets and roles models the standard in all interactions</w:t>
            </w:r>
          </w:p>
          <w:p w14:paraId="60A9BD1F" w14:textId="77777777" w:rsidR="00CF24B7" w:rsidRPr="00CF24B7" w:rsidRDefault="00CF24B7" w:rsidP="00CF24B7">
            <w:pPr>
              <w:pStyle w:val="Bullets"/>
            </w:pPr>
            <w:r w:rsidRPr="00CF24B7">
              <w:t>Focuses on inclusive, adaptive, growth mindset and empathetic leadership style; creates a climate where people want to do their best</w:t>
            </w:r>
          </w:p>
          <w:p w14:paraId="6AC94386" w14:textId="77777777" w:rsidR="00CF24B7" w:rsidRPr="00CF24B7" w:rsidRDefault="00CF24B7" w:rsidP="00CF24B7">
            <w:pPr>
              <w:pStyle w:val="Bullets"/>
            </w:pPr>
            <w:r w:rsidRPr="00CF24B7">
              <w:t>Builds a strong psychological safety culture and encourages cultural competence; addresses negative impacts to culture in a timely manner</w:t>
            </w:r>
          </w:p>
          <w:p w14:paraId="46304FC9" w14:textId="77777777" w:rsidR="00CF24B7" w:rsidRPr="00CF24B7" w:rsidRDefault="00CF24B7" w:rsidP="00CF24B7">
            <w:pPr>
              <w:pStyle w:val="Bullets"/>
            </w:pPr>
            <w:r w:rsidRPr="00CF24B7">
              <w:t>Ensures there is a robust workforce plan, succession plan and leadership pipeline, that fairly supports and fast-tracks outstanding talent at all levels</w:t>
            </w:r>
          </w:p>
          <w:p w14:paraId="46719F45" w14:textId="77777777" w:rsidR="00CF24B7" w:rsidRPr="00CF24B7" w:rsidRDefault="00CF24B7" w:rsidP="00CF24B7">
            <w:pPr>
              <w:pStyle w:val="Bullets"/>
            </w:pPr>
            <w:r w:rsidRPr="00CF24B7">
              <w:t>Articulates the purpose and value of two-way feedback culture within teams and across the organisation, and role models how to give and receive feedback</w:t>
            </w:r>
          </w:p>
          <w:p w14:paraId="45948E42" w14:textId="7F43E0DB" w:rsidR="003E45A4" w:rsidRPr="00CF24B7" w:rsidRDefault="003E45A4" w:rsidP="00CF24B7">
            <w:pPr>
              <w:pStyle w:val="Bullets"/>
              <w:numPr>
                <w:ilvl w:val="0"/>
                <w:numId w:val="0"/>
              </w:numPr>
              <w:rPr>
                <w:rFonts w:cstheme="minorHAnsi"/>
              </w:rPr>
            </w:pPr>
          </w:p>
          <w:p w14:paraId="131DDE25" w14:textId="1D4D9D34" w:rsidR="00CE442D" w:rsidRDefault="00CE442D" w:rsidP="00CE442D">
            <w:pPr>
              <w:pStyle w:val="Bullets"/>
              <w:numPr>
                <w:ilvl w:val="0"/>
                <w:numId w:val="0"/>
              </w:numPr>
              <w:ind w:left="360"/>
            </w:pPr>
          </w:p>
        </w:tc>
      </w:tr>
      <w:tr w:rsidR="003E45A4" w14:paraId="1D9E6CE2" w14:textId="77777777" w:rsidTr="00CD0AE7">
        <w:trPr>
          <w:trHeight w:val="228"/>
        </w:trPr>
        <w:tc>
          <w:tcPr>
            <w:tcW w:w="2830" w:type="dxa"/>
            <w:shd w:val="clear" w:color="auto" w:fill="E5F1FE" w:themeFill="accent5"/>
          </w:tcPr>
          <w:p w14:paraId="5788FB1A" w14:textId="697DE71A" w:rsidR="003E45A4" w:rsidRDefault="0089270A" w:rsidP="004C3889">
            <w:pPr>
              <w:pStyle w:val="Heading4"/>
              <w:framePr w:hSpace="0" w:wrap="auto" w:vAnchor="margin" w:yAlign="inline"/>
              <w:suppressOverlap w:val="0"/>
              <w:outlineLvl w:val="3"/>
            </w:pPr>
            <w:r>
              <w:lastRenderedPageBreak/>
              <w:t>Selection criteria</w:t>
            </w:r>
          </w:p>
        </w:tc>
        <w:tc>
          <w:tcPr>
            <w:tcW w:w="6798" w:type="dxa"/>
            <w:gridSpan w:val="5"/>
            <w:tcBorders>
              <w:bottom w:val="single" w:sz="2" w:space="0" w:color="0070F1"/>
            </w:tcBorders>
            <w:shd w:val="clear" w:color="auto" w:fill="FFFFFF" w:themeFill="background1"/>
            <w:vAlign w:val="center"/>
          </w:tcPr>
          <w:p w14:paraId="3D15FCD2" w14:textId="33DCE766" w:rsidR="003E45A4" w:rsidRDefault="00FE09A2" w:rsidP="00CD0AE7">
            <w:pPr>
              <w:pStyle w:val="Tableheading"/>
            </w:pPr>
            <w:r>
              <w:t>Education/qualifications</w:t>
            </w:r>
          </w:p>
          <w:p w14:paraId="57400C47" w14:textId="77777777" w:rsidR="009F20F8" w:rsidRPr="00876C73" w:rsidRDefault="009F20F8" w:rsidP="00CD0AE7">
            <w:pPr>
              <w:pStyle w:val="Bullets"/>
            </w:pPr>
            <w:r w:rsidRPr="00876C73">
              <w:t xml:space="preserve">List minimum qualifications / certification / accreditations </w:t>
            </w:r>
          </w:p>
          <w:p w14:paraId="653F91D8" w14:textId="77777777" w:rsidR="003E45A4" w:rsidRDefault="009F20F8" w:rsidP="00CD0AE7">
            <w:pPr>
              <w:pStyle w:val="Bullets"/>
            </w:pPr>
            <w:r w:rsidRPr="00876C73">
              <w:t>List required technical knowledge</w:t>
            </w:r>
          </w:p>
          <w:p w14:paraId="7CA42EC5" w14:textId="77777777" w:rsidR="009F20F8" w:rsidRDefault="007F790A" w:rsidP="00CD0AE7">
            <w:pPr>
              <w:pStyle w:val="Tableheading"/>
            </w:pPr>
            <w:r>
              <w:t>Knowledge/skills/experience</w:t>
            </w:r>
          </w:p>
          <w:p w14:paraId="6B061698" w14:textId="77777777" w:rsidR="007F790A" w:rsidRDefault="006D1419" w:rsidP="00CD0AE7">
            <w:pPr>
              <w:pStyle w:val="Tablesubheading"/>
            </w:pPr>
            <w:r>
              <w:t>Essential</w:t>
            </w:r>
          </w:p>
          <w:p w14:paraId="0DD30020" w14:textId="77777777" w:rsidR="006D1419" w:rsidRPr="005A0A97" w:rsidRDefault="005A0A97" w:rsidP="00CD0AE7">
            <w:pPr>
              <w:pStyle w:val="Bullets"/>
            </w:pPr>
            <w:r w:rsidRPr="00876C73">
              <w:rPr>
                <w:rFonts w:cstheme="minorHAnsi"/>
              </w:rPr>
              <w:t xml:space="preserve">List </w:t>
            </w:r>
            <w:r>
              <w:rPr>
                <w:rFonts w:cstheme="minorHAnsi"/>
              </w:rPr>
              <w:t>types of work they must had led previously for role success</w:t>
            </w:r>
          </w:p>
          <w:p w14:paraId="12AF9A50" w14:textId="77777777" w:rsidR="005A0A97" w:rsidRDefault="005A0A97" w:rsidP="00CD0AE7">
            <w:pPr>
              <w:pStyle w:val="Tablesubheading"/>
            </w:pPr>
            <w:r>
              <w:t>Desirable</w:t>
            </w:r>
          </w:p>
          <w:p w14:paraId="7BC3B25C" w14:textId="1C927512" w:rsidR="005A0A97" w:rsidRDefault="005A0A97" w:rsidP="00CD0AE7">
            <w:pPr>
              <w:pStyle w:val="Bullets"/>
            </w:pPr>
            <w:r w:rsidRPr="00876C73">
              <w:rPr>
                <w:rFonts w:cstheme="minorHAnsi"/>
              </w:rPr>
              <w:t xml:space="preserve">List </w:t>
            </w:r>
            <w:r>
              <w:rPr>
                <w:rFonts w:cstheme="minorHAnsi"/>
              </w:rPr>
              <w:t xml:space="preserve">types of work </w:t>
            </w:r>
            <w:r w:rsidR="00684A3E">
              <w:rPr>
                <w:rFonts w:cstheme="minorHAnsi"/>
              </w:rPr>
              <w:t>you would like them to have</w:t>
            </w:r>
            <w:r>
              <w:rPr>
                <w:rFonts w:cstheme="minorHAnsi"/>
              </w:rPr>
              <w:t xml:space="preserve"> led previously </w:t>
            </w:r>
          </w:p>
        </w:tc>
      </w:tr>
      <w:tr w:rsidR="00256781" w14:paraId="7B8F0153" w14:textId="77777777" w:rsidTr="009C6427">
        <w:trPr>
          <w:trHeight w:val="569"/>
        </w:trPr>
        <w:tc>
          <w:tcPr>
            <w:tcW w:w="9628" w:type="dxa"/>
            <w:gridSpan w:val="6"/>
            <w:shd w:val="clear" w:color="auto" w:fill="FFFFFF" w:themeFill="background1"/>
            <w:vAlign w:val="center"/>
          </w:tcPr>
          <w:p w14:paraId="05251B25" w14:textId="4C97B658" w:rsidR="00256781" w:rsidRDefault="00256781" w:rsidP="00256781">
            <w:pPr>
              <w:pStyle w:val="Tableheading"/>
            </w:pPr>
            <w:r>
              <w:t>Additional information</w:t>
            </w:r>
          </w:p>
        </w:tc>
      </w:tr>
      <w:tr w:rsidR="00674094" w14:paraId="027ABC59" w14:textId="77777777" w:rsidTr="00332AB7">
        <w:trPr>
          <w:trHeight w:val="228"/>
        </w:trPr>
        <w:tc>
          <w:tcPr>
            <w:tcW w:w="2830" w:type="dxa"/>
            <w:tcBorders>
              <w:bottom w:val="single" w:sz="4" w:space="0" w:color="0070F1" w:themeColor="accent1"/>
            </w:tcBorders>
            <w:shd w:val="clear" w:color="auto" w:fill="E5F1FE" w:themeFill="accent5"/>
          </w:tcPr>
          <w:p w14:paraId="4BBC3C4A" w14:textId="77777777" w:rsidR="00256781" w:rsidRDefault="00256781" w:rsidP="00256781">
            <w:pPr>
              <w:pStyle w:val="Tablesubheading"/>
            </w:pPr>
            <w:r>
              <w:t>Fairness and equality</w:t>
            </w:r>
          </w:p>
          <w:p w14:paraId="7DFF1C16" w14:textId="118C7BE8" w:rsidR="00674094" w:rsidRPr="00332AB7" w:rsidRDefault="00674094" w:rsidP="004C3889">
            <w:pPr>
              <w:pStyle w:val="Heading4"/>
              <w:framePr w:hSpace="0" w:wrap="auto" w:vAnchor="margin" w:yAlign="inline"/>
              <w:suppressOverlap w:val="0"/>
              <w:outlineLvl w:val="3"/>
            </w:pPr>
          </w:p>
        </w:tc>
        <w:tc>
          <w:tcPr>
            <w:tcW w:w="6798" w:type="dxa"/>
            <w:gridSpan w:val="5"/>
            <w:tcBorders>
              <w:top w:val="single" w:sz="2" w:space="0" w:color="0070F1"/>
              <w:bottom w:val="single" w:sz="4" w:space="0" w:color="0070F1" w:themeColor="accent1"/>
            </w:tcBorders>
            <w:shd w:val="clear" w:color="auto" w:fill="FFFFFF" w:themeFill="background1"/>
            <w:vAlign w:val="center"/>
          </w:tcPr>
          <w:p w14:paraId="231A59F1" w14:textId="3943C75A" w:rsidR="00D203C2" w:rsidRPr="001B5B0B" w:rsidRDefault="00D203C2" w:rsidP="00256781">
            <w:pPr>
              <w:pStyle w:val="Tableheading"/>
            </w:pPr>
            <w:r>
              <w:t xml:space="preserve">Health, </w:t>
            </w:r>
            <w:proofErr w:type="gramStart"/>
            <w:r>
              <w:t>safety</w:t>
            </w:r>
            <w:proofErr w:type="gramEnd"/>
            <w:r>
              <w:t xml:space="preserve"> and wellbeing</w:t>
            </w:r>
          </w:p>
          <w:p w14:paraId="44F93802" w14:textId="1504BAEF" w:rsidR="00D203C2" w:rsidRDefault="00D203C2" w:rsidP="00CD0AE7">
            <w:pPr>
              <w:spacing w:before="120"/>
            </w:pPr>
            <w:r w:rsidRPr="7BF53023">
              <w:t>Beyond Blue is committed to ensuring the physical and psychological health and safety of all employees, contractors and other people involved in our business activities. Our people are expected to comply with our Health, Safety and Wellbeing policy.</w:t>
            </w:r>
          </w:p>
          <w:p w14:paraId="27E68D2E" w14:textId="72A341CA" w:rsidR="00D203C2" w:rsidRDefault="00D203C2" w:rsidP="00256781">
            <w:pPr>
              <w:pStyle w:val="Tableheading"/>
            </w:pPr>
            <w:r w:rsidRPr="003C268D">
              <w:t>Pre-existing injury</w:t>
            </w:r>
          </w:p>
          <w:p w14:paraId="52C2D921" w14:textId="33F3ED5E" w:rsidR="00D203C2" w:rsidRPr="003C268D" w:rsidRDefault="00D203C2" w:rsidP="00CD0AE7">
            <w:pPr>
              <w:spacing w:before="120"/>
              <w:rPr>
                <w:rFonts w:cstheme="minorHAnsi"/>
              </w:rPr>
            </w:pPr>
            <w:r w:rsidRPr="003C268D">
              <w:rPr>
                <w:rFonts w:cstheme="minorHAnsi"/>
              </w:rPr>
              <w:t xml:space="preserve">The person appointed to this position will be required to disclose any pre-existing injuries or disease that might be affected by employment in </w:t>
            </w:r>
            <w:r w:rsidRPr="003C268D">
              <w:rPr>
                <w:rFonts w:cstheme="minorHAnsi"/>
              </w:rPr>
              <w:lastRenderedPageBreak/>
              <w:t xml:space="preserve">this position. This will assist the organisation in providing a safe work environment for </w:t>
            </w:r>
            <w:r w:rsidR="00EA4E29">
              <w:rPr>
                <w:rFonts w:cstheme="minorHAnsi"/>
              </w:rPr>
              <w:t>employees</w:t>
            </w:r>
            <w:r w:rsidRPr="003C268D">
              <w:rPr>
                <w:rFonts w:cstheme="minorHAnsi"/>
              </w:rPr>
              <w:t xml:space="preserve">. </w:t>
            </w:r>
          </w:p>
          <w:p w14:paraId="1810A267" w14:textId="273E6039" w:rsidR="00D203C2" w:rsidRPr="003C268D" w:rsidRDefault="00D203C2" w:rsidP="00256781">
            <w:pPr>
              <w:pStyle w:val="Tableheading"/>
            </w:pPr>
            <w:r w:rsidRPr="003C268D">
              <w:t>Equal opportunity</w:t>
            </w:r>
          </w:p>
          <w:p w14:paraId="513313F9" w14:textId="0823FCF9" w:rsidR="00D203C2" w:rsidRPr="003C268D" w:rsidRDefault="00D203C2" w:rsidP="00CD0AE7">
            <w:pPr>
              <w:spacing w:before="120"/>
              <w:rPr>
                <w:rFonts w:cstheme="minorHAnsi"/>
              </w:rPr>
            </w:pPr>
            <w:r>
              <w:rPr>
                <w:rFonts w:cstheme="minorHAnsi"/>
              </w:rPr>
              <w:t>Beyond Blue</w:t>
            </w:r>
            <w:r w:rsidRPr="003C268D">
              <w:rPr>
                <w:rFonts w:cstheme="minorHAnsi"/>
              </w:rPr>
              <w:t xml:space="preserve"> is an equal opportunity employer. All </w:t>
            </w:r>
            <w:r w:rsidR="00EA4E29">
              <w:rPr>
                <w:rFonts w:cstheme="minorHAnsi"/>
              </w:rPr>
              <w:t>employees</w:t>
            </w:r>
            <w:r w:rsidRPr="003C268D">
              <w:rPr>
                <w:rFonts w:cstheme="minorHAnsi"/>
              </w:rPr>
              <w:t xml:space="preserve"> have a responsibility to be familiar with and adhere to the organisation’s policies and procedures.</w:t>
            </w:r>
          </w:p>
          <w:p w14:paraId="2F920708" w14:textId="61B03A48" w:rsidR="00D203C2" w:rsidRDefault="00D203C2" w:rsidP="00256781">
            <w:pPr>
              <w:pStyle w:val="Tableheading"/>
            </w:pPr>
            <w:r w:rsidRPr="003C268D">
              <w:t xml:space="preserve">Cultural competency </w:t>
            </w:r>
          </w:p>
          <w:p w14:paraId="10249401" w14:textId="6D99D6A7" w:rsidR="00D203C2" w:rsidRPr="003C268D" w:rsidRDefault="00D203C2" w:rsidP="00CD0AE7">
            <w:pPr>
              <w:spacing w:before="120"/>
              <w:rPr>
                <w:rFonts w:cstheme="minorHAnsi"/>
              </w:rPr>
            </w:pPr>
            <w:r>
              <w:rPr>
                <w:rFonts w:cstheme="minorHAnsi"/>
              </w:rPr>
              <w:t>Beyond Blue</w:t>
            </w:r>
            <w:r w:rsidRPr="003C268D">
              <w:rPr>
                <w:rFonts w:cstheme="minorHAnsi"/>
              </w:rPr>
              <w:t xml:space="preserve"> strives to maintain a culturally competent and inclusive workplace. All </w:t>
            </w:r>
            <w:r w:rsidR="00EA4E29">
              <w:rPr>
                <w:rFonts w:cstheme="minorHAnsi"/>
              </w:rPr>
              <w:t>employees</w:t>
            </w:r>
            <w:r w:rsidRPr="003C268D">
              <w:rPr>
                <w:rFonts w:cstheme="minorHAnsi"/>
              </w:rPr>
              <w:t xml:space="preserve"> are expected to undergo regular cultural competenc</w:t>
            </w:r>
            <w:r w:rsidR="00EA4E29">
              <w:rPr>
                <w:rFonts w:cstheme="minorHAnsi"/>
              </w:rPr>
              <w:t>y</w:t>
            </w:r>
            <w:r w:rsidRPr="003C268D">
              <w:rPr>
                <w:rFonts w:cstheme="minorHAnsi"/>
              </w:rPr>
              <w:t xml:space="preserve"> training as part of their professional development plans.</w:t>
            </w:r>
          </w:p>
          <w:p w14:paraId="664E9286" w14:textId="6848F99E" w:rsidR="00D203C2" w:rsidRPr="003C268D" w:rsidRDefault="00D203C2" w:rsidP="00256781">
            <w:pPr>
              <w:pStyle w:val="Tableheading"/>
            </w:pPr>
            <w:r w:rsidRPr="003C268D">
              <w:t>Employment is subject to:</w:t>
            </w:r>
          </w:p>
          <w:p w14:paraId="691BBA45" w14:textId="63E7EB0A" w:rsidR="00D203C2" w:rsidRDefault="00B176DC" w:rsidP="00CD0AE7">
            <w:pPr>
              <w:pStyle w:val="Bullets"/>
            </w:pPr>
            <w:r>
              <w:t>a</w:t>
            </w:r>
            <w:r w:rsidR="00D203C2" w:rsidRPr="003C268D">
              <w:t xml:space="preserve"> current Police Record Check</w:t>
            </w:r>
          </w:p>
          <w:p w14:paraId="3EE56C5B" w14:textId="58758223" w:rsidR="00CD0AE7" w:rsidRPr="00D203C2" w:rsidRDefault="00B176DC" w:rsidP="0059629F">
            <w:pPr>
              <w:pStyle w:val="Bullets"/>
            </w:pPr>
            <w:r>
              <w:t>p</w:t>
            </w:r>
            <w:r w:rsidR="00D203C2" w:rsidRPr="003C268D">
              <w:t>roof of the right to work in Australia</w:t>
            </w:r>
            <w:r>
              <w:t>.</w:t>
            </w:r>
          </w:p>
        </w:tc>
      </w:tr>
    </w:tbl>
    <w:p w14:paraId="31E62458" w14:textId="77777777" w:rsidR="00C729E9" w:rsidRPr="00782B81" w:rsidRDefault="00C729E9" w:rsidP="00332AB7"/>
    <w:sectPr w:rsidR="00C729E9" w:rsidRPr="00782B81" w:rsidSect="005939FA">
      <w:footerReference w:type="default" r:id="rId12"/>
      <w:headerReference w:type="first" r:id="rId13"/>
      <w:footerReference w:type="first" r:id="rId14"/>
      <w:pgSz w:w="11906" w:h="16838"/>
      <w:pgMar w:top="1134" w:right="1134" w:bottom="1134" w:left="1134" w:header="2268"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ED34F6" w14:textId="77777777" w:rsidR="00407976" w:rsidRDefault="00407976" w:rsidP="003916DB">
      <w:pPr>
        <w:spacing w:after="0"/>
      </w:pPr>
      <w:r>
        <w:separator/>
      </w:r>
    </w:p>
  </w:endnote>
  <w:endnote w:type="continuationSeparator" w:id="0">
    <w:p w14:paraId="53FB65E6" w14:textId="77777777" w:rsidR="00407976" w:rsidRDefault="00407976" w:rsidP="003916DB">
      <w:pPr>
        <w:spacing w:after="0"/>
      </w:pPr>
      <w:r>
        <w:continuationSeparator/>
      </w:r>
    </w:p>
  </w:endnote>
  <w:endnote w:type="continuationNotice" w:id="1">
    <w:p w14:paraId="6642CE7E" w14:textId="77777777" w:rsidR="00407976" w:rsidRDefault="0040797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BDDCE" w14:textId="77777777" w:rsidR="004C3889" w:rsidRPr="00332AB7" w:rsidRDefault="004C3889">
    <w:pPr>
      <w:pStyle w:val="Footer"/>
      <w:pBdr>
        <w:top w:val="single" w:sz="4" w:space="8" w:color="0070F1" w:themeColor="accent1"/>
      </w:pBdr>
      <w:spacing w:before="360"/>
      <w:contextualSpacing/>
      <w:jc w:val="right"/>
      <w:rPr>
        <w:noProof/>
        <w:color w:val="0070F1" w:themeColor="accent1"/>
        <w:sz w:val="16"/>
        <w:szCs w:val="16"/>
      </w:rPr>
    </w:pPr>
    <w:r w:rsidRPr="00332AB7">
      <w:rPr>
        <w:noProof/>
        <w:color w:val="0070F1" w:themeColor="accent1"/>
        <w:sz w:val="16"/>
        <w:szCs w:val="16"/>
      </w:rPr>
      <w:fldChar w:fldCharType="begin"/>
    </w:r>
    <w:r w:rsidRPr="00332AB7">
      <w:rPr>
        <w:noProof/>
        <w:color w:val="0070F1" w:themeColor="accent1"/>
        <w:sz w:val="16"/>
        <w:szCs w:val="16"/>
      </w:rPr>
      <w:instrText xml:space="preserve"> PAGE   \* MERGEFORMAT </w:instrText>
    </w:r>
    <w:r w:rsidRPr="00332AB7">
      <w:rPr>
        <w:noProof/>
        <w:color w:val="0070F1" w:themeColor="accent1"/>
        <w:sz w:val="16"/>
        <w:szCs w:val="16"/>
      </w:rPr>
      <w:fldChar w:fldCharType="separate"/>
    </w:r>
    <w:r w:rsidRPr="00332AB7">
      <w:rPr>
        <w:noProof/>
        <w:color w:val="0070F1" w:themeColor="accent1"/>
        <w:sz w:val="16"/>
        <w:szCs w:val="16"/>
      </w:rPr>
      <w:t>2</w:t>
    </w:r>
    <w:r w:rsidRPr="00332AB7">
      <w:rPr>
        <w:noProof/>
        <w:color w:val="0070F1" w:themeColor="accent1"/>
        <w:sz w:val="16"/>
        <w:szCs w:val="16"/>
      </w:rPr>
      <w:fldChar w:fldCharType="end"/>
    </w:r>
  </w:p>
  <w:tbl>
    <w:tblPr>
      <w:tblStyle w:val="TableGrid"/>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4677"/>
      <w:gridCol w:w="709"/>
      <w:gridCol w:w="2693"/>
    </w:tblGrid>
    <w:tr w:rsidR="004C3889" w14:paraId="3ABA3FDB" w14:textId="77777777" w:rsidTr="00FF397E">
      <w:tc>
        <w:tcPr>
          <w:tcW w:w="1555" w:type="dxa"/>
        </w:tcPr>
        <w:p w14:paraId="30C788C0" w14:textId="7118BCC5" w:rsidR="004C3889" w:rsidRPr="00332AB7" w:rsidRDefault="004C3889">
          <w:pPr>
            <w:pStyle w:val="Footer"/>
            <w:rPr>
              <w:sz w:val="16"/>
              <w:szCs w:val="16"/>
              <w:lang w:val="en-US"/>
            </w:rPr>
          </w:pPr>
          <w:r w:rsidRPr="00332AB7">
            <w:rPr>
              <w:sz w:val="16"/>
              <w:szCs w:val="16"/>
              <w:lang w:val="en-US"/>
            </w:rPr>
            <w:t>Prepared by:</w:t>
          </w:r>
        </w:p>
      </w:tc>
      <w:tc>
        <w:tcPr>
          <w:tcW w:w="4677" w:type="dxa"/>
        </w:tcPr>
        <w:p w14:paraId="44AFCA0E" w14:textId="77777777" w:rsidR="004C3889" w:rsidRPr="00332AB7" w:rsidRDefault="004C3889">
          <w:pPr>
            <w:pStyle w:val="Footer"/>
            <w:rPr>
              <w:sz w:val="16"/>
              <w:szCs w:val="16"/>
              <w:lang w:val="en-US"/>
            </w:rPr>
          </w:pPr>
        </w:p>
      </w:tc>
      <w:tc>
        <w:tcPr>
          <w:tcW w:w="709" w:type="dxa"/>
        </w:tcPr>
        <w:p w14:paraId="4DDA4E9E" w14:textId="77777777" w:rsidR="004C3889" w:rsidRPr="00332AB7" w:rsidRDefault="004C3889">
          <w:pPr>
            <w:pStyle w:val="Footer"/>
            <w:rPr>
              <w:sz w:val="16"/>
              <w:szCs w:val="16"/>
              <w:lang w:val="en-US"/>
            </w:rPr>
          </w:pPr>
          <w:r w:rsidRPr="00332AB7">
            <w:rPr>
              <w:sz w:val="16"/>
              <w:szCs w:val="16"/>
              <w:lang w:val="en-US"/>
            </w:rPr>
            <w:t>Date:</w:t>
          </w:r>
        </w:p>
      </w:tc>
      <w:tc>
        <w:tcPr>
          <w:tcW w:w="2693" w:type="dxa"/>
        </w:tcPr>
        <w:p w14:paraId="71D6063D" w14:textId="44856E03" w:rsidR="004C3889" w:rsidRPr="00332AB7" w:rsidRDefault="004C3889">
          <w:pPr>
            <w:pStyle w:val="Footer"/>
            <w:rPr>
              <w:sz w:val="16"/>
              <w:szCs w:val="16"/>
              <w:lang w:val="en-US"/>
            </w:rPr>
          </w:pPr>
        </w:p>
      </w:tc>
    </w:tr>
    <w:tr w:rsidR="004C3889" w14:paraId="167F25B0" w14:textId="77777777" w:rsidTr="00FF397E">
      <w:trPr>
        <w:trHeight w:val="80"/>
      </w:trPr>
      <w:tc>
        <w:tcPr>
          <w:tcW w:w="1555" w:type="dxa"/>
        </w:tcPr>
        <w:p w14:paraId="4A94EAB9" w14:textId="6A1BDFC9" w:rsidR="004C3889" w:rsidRPr="00332AB7" w:rsidRDefault="00332AB7">
          <w:pPr>
            <w:pStyle w:val="Footer"/>
            <w:rPr>
              <w:sz w:val="16"/>
              <w:szCs w:val="16"/>
              <w:lang w:val="en-US"/>
            </w:rPr>
          </w:pPr>
          <w:r>
            <w:rPr>
              <w:sz w:val="16"/>
              <w:szCs w:val="16"/>
              <w:lang w:val="en-US"/>
            </w:rPr>
            <w:t>A</w:t>
          </w:r>
          <w:r w:rsidR="004C3889" w:rsidRPr="00332AB7">
            <w:rPr>
              <w:sz w:val="16"/>
              <w:szCs w:val="16"/>
              <w:lang w:val="en-US"/>
            </w:rPr>
            <w:t>pproved by:</w:t>
          </w:r>
        </w:p>
      </w:tc>
      <w:tc>
        <w:tcPr>
          <w:tcW w:w="4677" w:type="dxa"/>
        </w:tcPr>
        <w:p w14:paraId="7E2DC6AE" w14:textId="77777777" w:rsidR="004C3889" w:rsidRPr="00332AB7" w:rsidRDefault="004C3889">
          <w:pPr>
            <w:pStyle w:val="Footer"/>
            <w:rPr>
              <w:sz w:val="16"/>
              <w:szCs w:val="16"/>
              <w:lang w:val="en-US"/>
            </w:rPr>
          </w:pPr>
        </w:p>
      </w:tc>
      <w:tc>
        <w:tcPr>
          <w:tcW w:w="709" w:type="dxa"/>
        </w:tcPr>
        <w:p w14:paraId="0AD00996" w14:textId="77777777" w:rsidR="004C3889" w:rsidRPr="00332AB7" w:rsidRDefault="004C3889">
          <w:pPr>
            <w:pStyle w:val="Footer"/>
            <w:rPr>
              <w:sz w:val="16"/>
              <w:szCs w:val="16"/>
              <w:lang w:val="en-US"/>
            </w:rPr>
          </w:pPr>
          <w:r w:rsidRPr="00332AB7">
            <w:rPr>
              <w:sz w:val="16"/>
              <w:szCs w:val="16"/>
              <w:lang w:val="en-US"/>
            </w:rPr>
            <w:t>Date:</w:t>
          </w:r>
        </w:p>
      </w:tc>
      <w:tc>
        <w:tcPr>
          <w:tcW w:w="2693" w:type="dxa"/>
        </w:tcPr>
        <w:p w14:paraId="4DFDA3BB" w14:textId="43A778BF" w:rsidR="004C3889" w:rsidRPr="00332AB7" w:rsidRDefault="004C3889">
          <w:pPr>
            <w:pStyle w:val="Footer"/>
            <w:rPr>
              <w:sz w:val="16"/>
              <w:szCs w:val="16"/>
              <w:lang w:val="en-US"/>
            </w:rPr>
          </w:pPr>
        </w:p>
      </w:tc>
    </w:tr>
  </w:tbl>
  <w:p w14:paraId="46716435" w14:textId="192B4B6D" w:rsidR="004C3889" w:rsidRPr="004C3889" w:rsidRDefault="004C3889" w:rsidP="004C3889">
    <w:pPr>
      <w:pStyle w:val="Footer"/>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ED706" w14:textId="77777777" w:rsidR="00332AB7" w:rsidRPr="00332AB7" w:rsidRDefault="00332AB7" w:rsidP="00332AB7">
    <w:pPr>
      <w:pStyle w:val="Footer"/>
      <w:pBdr>
        <w:top w:val="single" w:sz="4" w:space="8" w:color="0070F1" w:themeColor="accent1"/>
      </w:pBdr>
      <w:spacing w:before="360"/>
      <w:contextualSpacing/>
      <w:jc w:val="right"/>
      <w:rPr>
        <w:noProof/>
        <w:color w:val="0070F1" w:themeColor="accent1"/>
        <w:sz w:val="16"/>
        <w:szCs w:val="16"/>
      </w:rPr>
    </w:pPr>
    <w:r w:rsidRPr="00332AB7">
      <w:rPr>
        <w:noProof/>
        <w:color w:val="0070F1" w:themeColor="accent1"/>
        <w:sz w:val="16"/>
        <w:szCs w:val="16"/>
      </w:rPr>
      <w:fldChar w:fldCharType="begin"/>
    </w:r>
    <w:r w:rsidRPr="00332AB7">
      <w:rPr>
        <w:noProof/>
        <w:color w:val="0070F1" w:themeColor="accent1"/>
        <w:sz w:val="16"/>
        <w:szCs w:val="16"/>
      </w:rPr>
      <w:instrText xml:space="preserve"> PAGE   \* MERGEFORMAT </w:instrText>
    </w:r>
    <w:r w:rsidRPr="00332AB7">
      <w:rPr>
        <w:noProof/>
        <w:color w:val="0070F1" w:themeColor="accent1"/>
        <w:sz w:val="16"/>
        <w:szCs w:val="16"/>
      </w:rPr>
      <w:fldChar w:fldCharType="separate"/>
    </w:r>
    <w:r>
      <w:rPr>
        <w:noProof/>
        <w:color w:val="0070F1" w:themeColor="accent1"/>
        <w:sz w:val="16"/>
        <w:szCs w:val="16"/>
      </w:rPr>
      <w:t>2</w:t>
    </w:r>
    <w:r w:rsidRPr="00332AB7">
      <w:rPr>
        <w:noProof/>
        <w:color w:val="0070F1" w:themeColor="accent1"/>
        <w:sz w:val="16"/>
        <w:szCs w:val="16"/>
      </w:rPr>
      <w:fldChar w:fldCharType="end"/>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1"/>
      <w:gridCol w:w="3511"/>
      <w:gridCol w:w="672"/>
      <w:gridCol w:w="2042"/>
      <w:gridCol w:w="2042"/>
    </w:tblGrid>
    <w:tr w:rsidR="00332AB7" w14:paraId="25CE2425" w14:textId="15107BC5" w:rsidTr="00332AB7">
      <w:tc>
        <w:tcPr>
          <w:tcW w:w="1371" w:type="dxa"/>
        </w:tcPr>
        <w:p w14:paraId="29E6FAAB" w14:textId="77777777" w:rsidR="00332AB7" w:rsidRPr="00332AB7" w:rsidRDefault="00332AB7" w:rsidP="00332AB7">
          <w:pPr>
            <w:pStyle w:val="Footer"/>
            <w:rPr>
              <w:sz w:val="16"/>
              <w:szCs w:val="16"/>
              <w:lang w:val="en-US"/>
            </w:rPr>
          </w:pPr>
          <w:r w:rsidRPr="00332AB7">
            <w:rPr>
              <w:sz w:val="16"/>
              <w:szCs w:val="16"/>
              <w:lang w:val="en-US"/>
            </w:rPr>
            <w:t>Prepared by:</w:t>
          </w:r>
        </w:p>
      </w:tc>
      <w:tc>
        <w:tcPr>
          <w:tcW w:w="3511" w:type="dxa"/>
        </w:tcPr>
        <w:p w14:paraId="1D2B44D8" w14:textId="77777777" w:rsidR="00332AB7" w:rsidRPr="00332AB7" w:rsidRDefault="00332AB7" w:rsidP="00332AB7">
          <w:pPr>
            <w:pStyle w:val="Footer"/>
            <w:rPr>
              <w:sz w:val="16"/>
              <w:szCs w:val="16"/>
              <w:lang w:val="en-US"/>
            </w:rPr>
          </w:pPr>
        </w:p>
      </w:tc>
      <w:tc>
        <w:tcPr>
          <w:tcW w:w="672" w:type="dxa"/>
        </w:tcPr>
        <w:p w14:paraId="1FFCDA54" w14:textId="77777777" w:rsidR="00332AB7" w:rsidRPr="00332AB7" w:rsidRDefault="00332AB7" w:rsidP="00332AB7">
          <w:pPr>
            <w:pStyle w:val="Footer"/>
            <w:rPr>
              <w:sz w:val="16"/>
              <w:szCs w:val="16"/>
              <w:lang w:val="en-US"/>
            </w:rPr>
          </w:pPr>
          <w:r w:rsidRPr="00332AB7">
            <w:rPr>
              <w:sz w:val="16"/>
              <w:szCs w:val="16"/>
              <w:lang w:val="en-US"/>
            </w:rPr>
            <w:t>Date:</w:t>
          </w:r>
        </w:p>
      </w:tc>
      <w:tc>
        <w:tcPr>
          <w:tcW w:w="2042" w:type="dxa"/>
        </w:tcPr>
        <w:p w14:paraId="42508369" w14:textId="77777777" w:rsidR="00332AB7" w:rsidRPr="00332AB7" w:rsidRDefault="00332AB7" w:rsidP="00332AB7">
          <w:pPr>
            <w:pStyle w:val="Footer"/>
            <w:rPr>
              <w:sz w:val="16"/>
              <w:szCs w:val="16"/>
              <w:lang w:val="en-US"/>
            </w:rPr>
          </w:pPr>
        </w:p>
      </w:tc>
      <w:tc>
        <w:tcPr>
          <w:tcW w:w="2042" w:type="dxa"/>
        </w:tcPr>
        <w:p w14:paraId="3468FDEC" w14:textId="77777777" w:rsidR="00332AB7" w:rsidRPr="00332AB7" w:rsidRDefault="00332AB7" w:rsidP="00332AB7">
          <w:pPr>
            <w:pStyle w:val="Footer"/>
            <w:rPr>
              <w:sz w:val="16"/>
              <w:szCs w:val="16"/>
              <w:lang w:val="en-US"/>
            </w:rPr>
          </w:pPr>
        </w:p>
      </w:tc>
    </w:tr>
    <w:tr w:rsidR="00332AB7" w14:paraId="64B03D3B" w14:textId="3AE219E8" w:rsidTr="00332AB7">
      <w:tc>
        <w:tcPr>
          <w:tcW w:w="1371" w:type="dxa"/>
        </w:tcPr>
        <w:p w14:paraId="704D607A" w14:textId="77777777" w:rsidR="00332AB7" w:rsidRPr="00332AB7" w:rsidRDefault="00332AB7" w:rsidP="00332AB7">
          <w:pPr>
            <w:pStyle w:val="Footer"/>
            <w:rPr>
              <w:sz w:val="16"/>
              <w:szCs w:val="16"/>
              <w:lang w:val="en-US"/>
            </w:rPr>
          </w:pPr>
          <w:r>
            <w:rPr>
              <w:sz w:val="16"/>
              <w:szCs w:val="16"/>
              <w:lang w:val="en-US"/>
            </w:rPr>
            <w:t>A</w:t>
          </w:r>
          <w:r w:rsidRPr="00332AB7">
            <w:rPr>
              <w:sz w:val="16"/>
              <w:szCs w:val="16"/>
              <w:lang w:val="en-US"/>
            </w:rPr>
            <w:t>pproved by:</w:t>
          </w:r>
        </w:p>
      </w:tc>
      <w:tc>
        <w:tcPr>
          <w:tcW w:w="3511" w:type="dxa"/>
        </w:tcPr>
        <w:p w14:paraId="637B1BA2" w14:textId="77777777" w:rsidR="00332AB7" w:rsidRPr="00332AB7" w:rsidRDefault="00332AB7" w:rsidP="00332AB7">
          <w:pPr>
            <w:pStyle w:val="Footer"/>
            <w:rPr>
              <w:sz w:val="16"/>
              <w:szCs w:val="16"/>
              <w:lang w:val="en-US"/>
            </w:rPr>
          </w:pPr>
        </w:p>
      </w:tc>
      <w:tc>
        <w:tcPr>
          <w:tcW w:w="672" w:type="dxa"/>
        </w:tcPr>
        <w:p w14:paraId="04E004AD" w14:textId="77777777" w:rsidR="00332AB7" w:rsidRPr="00332AB7" w:rsidRDefault="00332AB7" w:rsidP="00332AB7">
          <w:pPr>
            <w:pStyle w:val="Footer"/>
            <w:rPr>
              <w:sz w:val="16"/>
              <w:szCs w:val="16"/>
              <w:lang w:val="en-US"/>
            </w:rPr>
          </w:pPr>
          <w:r w:rsidRPr="00332AB7">
            <w:rPr>
              <w:sz w:val="16"/>
              <w:szCs w:val="16"/>
              <w:lang w:val="en-US"/>
            </w:rPr>
            <w:t>Date:</w:t>
          </w:r>
        </w:p>
      </w:tc>
      <w:tc>
        <w:tcPr>
          <w:tcW w:w="2042" w:type="dxa"/>
        </w:tcPr>
        <w:p w14:paraId="212006C3" w14:textId="77777777" w:rsidR="00332AB7" w:rsidRPr="00332AB7" w:rsidRDefault="00332AB7" w:rsidP="00332AB7">
          <w:pPr>
            <w:pStyle w:val="Footer"/>
            <w:rPr>
              <w:sz w:val="16"/>
              <w:szCs w:val="16"/>
              <w:lang w:val="en-US"/>
            </w:rPr>
          </w:pPr>
        </w:p>
      </w:tc>
      <w:tc>
        <w:tcPr>
          <w:tcW w:w="2042" w:type="dxa"/>
        </w:tcPr>
        <w:p w14:paraId="0F08A496" w14:textId="77777777" w:rsidR="00332AB7" w:rsidRPr="00332AB7" w:rsidRDefault="00332AB7" w:rsidP="00332AB7">
          <w:pPr>
            <w:pStyle w:val="Footer"/>
            <w:rPr>
              <w:sz w:val="16"/>
              <w:szCs w:val="16"/>
              <w:lang w:val="en-US"/>
            </w:rPr>
          </w:pPr>
        </w:p>
      </w:tc>
    </w:tr>
  </w:tbl>
  <w:p w14:paraId="436AF98B" w14:textId="77777777" w:rsidR="00332AB7" w:rsidRDefault="00332A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858144" w14:textId="77777777" w:rsidR="00407976" w:rsidRDefault="00407976" w:rsidP="003916DB">
      <w:pPr>
        <w:spacing w:after="0"/>
      </w:pPr>
      <w:r>
        <w:separator/>
      </w:r>
    </w:p>
  </w:footnote>
  <w:footnote w:type="continuationSeparator" w:id="0">
    <w:p w14:paraId="777512E8" w14:textId="77777777" w:rsidR="00407976" w:rsidRDefault="00407976" w:rsidP="003916DB">
      <w:pPr>
        <w:spacing w:after="0"/>
      </w:pPr>
      <w:r>
        <w:continuationSeparator/>
      </w:r>
    </w:p>
  </w:footnote>
  <w:footnote w:type="continuationNotice" w:id="1">
    <w:p w14:paraId="3648C4F1" w14:textId="77777777" w:rsidR="00407976" w:rsidRDefault="0040797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2294B" w14:textId="0E23655D" w:rsidR="00902532" w:rsidRDefault="00A95542">
    <w:pPr>
      <w:pStyle w:val="Header"/>
    </w:pPr>
    <w:r>
      <w:rPr>
        <w:noProof/>
        <w:lang w:eastAsia="en-AU"/>
      </w:rPr>
      <w:drawing>
        <wp:anchor distT="0" distB="0" distL="114300" distR="114300" simplePos="0" relativeHeight="251661312" behindDoc="0" locked="0" layoutInCell="1" allowOverlap="1" wp14:anchorId="17F80D21" wp14:editId="59FD60D4">
          <wp:simplePos x="0" y="0"/>
          <wp:positionH relativeFrom="margin">
            <wp:posOffset>4330700</wp:posOffset>
          </wp:positionH>
          <wp:positionV relativeFrom="paragraph">
            <wp:posOffset>-979170</wp:posOffset>
          </wp:positionV>
          <wp:extent cx="1979930" cy="990600"/>
          <wp:effectExtent l="0" t="0" r="0" b="0"/>
          <wp:wrapNone/>
          <wp:docPr id="5" name="Picture 5" descr="Beyond Blue logo that consists of a butterfly like shape on the left and the words Beyond Blue stacked on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Beyond Blue logo that consists of a butterfly like shape on the left and the words Beyond Blue stacked on the right."/>
                  <pic:cNvPicPr/>
                </pic:nvPicPr>
                <pic:blipFill>
                  <a:blip r:embed="rId1">
                    <a:extLst>
                      <a:ext uri="{28A0092B-C50C-407E-A947-70E740481C1C}">
                        <a14:useLocalDpi xmlns:a14="http://schemas.microsoft.com/office/drawing/2010/main" val="0"/>
                      </a:ext>
                    </a:extLst>
                  </a:blip>
                  <a:stretch>
                    <a:fillRect/>
                  </a:stretch>
                </pic:blipFill>
                <pic:spPr bwMode="auto">
                  <a:xfrm>
                    <a:off x="0" y="0"/>
                    <a:ext cx="1979930" cy="990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64384" behindDoc="0" locked="0" layoutInCell="1" allowOverlap="1" wp14:anchorId="66DD6A17" wp14:editId="486F1B3C">
              <wp:simplePos x="0" y="0"/>
              <wp:positionH relativeFrom="column">
                <wp:posOffset>-78740</wp:posOffset>
              </wp:positionH>
              <wp:positionV relativeFrom="paragraph">
                <wp:posOffset>-1007745</wp:posOffset>
              </wp:positionV>
              <wp:extent cx="2360930" cy="1404620"/>
              <wp:effectExtent l="0" t="0" r="0" b="31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42F5173F" w14:textId="71481A9C" w:rsidR="004C3889" w:rsidRPr="004C3889" w:rsidRDefault="004C3889" w:rsidP="004C3889">
                          <w:pPr>
                            <w:rPr>
                              <w:b/>
                              <w:bCs/>
                              <w:color w:val="FFFFFF" w:themeColor="background1"/>
                              <w:sz w:val="56"/>
                              <w:szCs w:val="56"/>
                            </w:rPr>
                          </w:pPr>
                          <w:r w:rsidRPr="004C3889">
                            <w:rPr>
                              <w:b/>
                              <w:bCs/>
                              <w:color w:val="FFFFFF" w:themeColor="background1"/>
                              <w:sz w:val="56"/>
                              <w:szCs w:val="56"/>
                            </w:rPr>
                            <w:t xml:space="preserve">Position </w:t>
                          </w:r>
                          <w:r w:rsidRPr="004C3889">
                            <w:rPr>
                              <w:b/>
                              <w:bCs/>
                              <w:color w:val="FFFFFF" w:themeColor="background1"/>
                              <w:sz w:val="56"/>
                              <w:szCs w:val="56"/>
                            </w:rPr>
                            <w:br/>
                          </w:r>
                          <w:r w:rsidRPr="004C3889">
                            <w:rPr>
                              <w:color w:val="FFFFFF" w:themeColor="background1"/>
                              <w:sz w:val="56"/>
                              <w:szCs w:val="56"/>
                            </w:rPr>
                            <w:t>description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66DD6A17" id="_x0000_t202" coordsize="21600,21600" o:spt="202" path="m,l,21600r21600,l21600,xe">
              <v:stroke joinstyle="miter"/>
              <v:path gradientshapeok="t" o:connecttype="rect"/>
            </v:shapetype>
            <v:shape id="Text Box 2" o:spid="_x0000_s1026" type="#_x0000_t202" style="position:absolute;margin-left:-6.2pt;margin-top:-79.35pt;width:185.9pt;height:110.6pt;z-index:2516643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" filled="f" stroked="f">
              <v:textbox style="mso-fit-shape-to-text:t">
                <w:txbxContent>
                  <w:p w14:paraId="42F5173F" w14:textId="71481A9C" w:rsidR="004C3889" w:rsidRPr="004C3889" w:rsidRDefault="004C3889" w:rsidP="004C3889">
                    <w:pPr>
                      <w:rPr>
                        <w:b/>
                        <w:bCs/>
                        <w:color w:val="FFFFFF" w:themeColor="background1"/>
                        <w:sz w:val="56"/>
                        <w:szCs w:val="56"/>
                      </w:rPr>
                    </w:pPr>
                    <w:r w:rsidRPr="004C3889">
                      <w:rPr>
                        <w:b/>
                        <w:bCs/>
                        <w:color w:val="FFFFFF" w:themeColor="background1"/>
                        <w:sz w:val="56"/>
                        <w:szCs w:val="56"/>
                      </w:rPr>
                      <w:t xml:space="preserve">Position </w:t>
                    </w:r>
                    <w:r w:rsidRPr="004C3889">
                      <w:rPr>
                        <w:b/>
                        <w:bCs/>
                        <w:color w:val="FFFFFF" w:themeColor="background1"/>
                        <w:sz w:val="56"/>
                        <w:szCs w:val="56"/>
                      </w:rPr>
                      <w:br/>
                    </w:r>
                    <w:r w:rsidRPr="004C3889">
                      <w:rPr>
                        <w:color w:val="FFFFFF" w:themeColor="background1"/>
                        <w:sz w:val="56"/>
                        <w:szCs w:val="56"/>
                      </w:rPr>
                      <w:t>description</w:t>
                    </w:r>
                  </w:p>
                </w:txbxContent>
              </v:textbox>
              <w10:wrap type="square"/>
            </v:shape>
          </w:pict>
        </mc:Fallback>
      </mc:AlternateContent>
    </w:r>
    <w:r w:rsidR="00C55667">
      <w:rPr>
        <w:noProof/>
        <w:lang w:eastAsia="en-AU"/>
      </w:rPr>
      <w:drawing>
        <wp:anchor distT="0" distB="0" distL="114300" distR="114300" simplePos="0" relativeHeight="251660287" behindDoc="0" locked="0" layoutInCell="1" allowOverlap="1" wp14:anchorId="5CC59645" wp14:editId="07A45188">
          <wp:simplePos x="0" y="0"/>
          <wp:positionH relativeFrom="page">
            <wp:posOffset>0</wp:posOffset>
          </wp:positionH>
          <wp:positionV relativeFrom="paragraph">
            <wp:posOffset>-1764030</wp:posOffset>
          </wp:positionV>
          <wp:extent cx="4676775" cy="2332990"/>
          <wp:effectExtent l="0" t="0" r="952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4676775" cy="23329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F7C4B"/>
    <w:multiLevelType w:val="hybridMultilevel"/>
    <w:tmpl w:val="38BA9B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9C524D"/>
    <w:multiLevelType w:val="hybridMultilevel"/>
    <w:tmpl w:val="2C0ACED6"/>
    <w:lvl w:ilvl="0" w:tplc="8EC22A8A">
      <w:start w:val="1"/>
      <w:numFmt w:val="bullet"/>
      <w:lvlText w:val="•"/>
      <w:lvlJc w:val="left"/>
      <w:pPr>
        <w:tabs>
          <w:tab w:val="num" w:pos="360"/>
        </w:tabs>
        <w:ind w:left="360" w:hanging="360"/>
      </w:pPr>
      <w:rPr>
        <w:rFonts w:ascii="Arial" w:hAnsi="Arial" w:cs="Times New Roman" w:hint="default"/>
      </w:rPr>
    </w:lvl>
    <w:lvl w:ilvl="1" w:tplc="708C347A">
      <w:start w:val="1"/>
      <w:numFmt w:val="bullet"/>
      <w:lvlText w:val="•"/>
      <w:lvlJc w:val="left"/>
      <w:pPr>
        <w:tabs>
          <w:tab w:val="num" w:pos="1080"/>
        </w:tabs>
        <w:ind w:left="1080" w:hanging="360"/>
      </w:pPr>
      <w:rPr>
        <w:rFonts w:ascii="Arial" w:hAnsi="Arial" w:cs="Times New Roman" w:hint="default"/>
      </w:rPr>
    </w:lvl>
    <w:lvl w:ilvl="2" w:tplc="977ABB90">
      <w:start w:val="1"/>
      <w:numFmt w:val="bullet"/>
      <w:lvlText w:val="•"/>
      <w:lvlJc w:val="left"/>
      <w:pPr>
        <w:tabs>
          <w:tab w:val="num" w:pos="1800"/>
        </w:tabs>
        <w:ind w:left="1800" w:hanging="360"/>
      </w:pPr>
      <w:rPr>
        <w:rFonts w:ascii="Arial" w:hAnsi="Arial" w:cs="Times New Roman" w:hint="default"/>
      </w:rPr>
    </w:lvl>
    <w:lvl w:ilvl="3" w:tplc="30021890">
      <w:start w:val="1"/>
      <w:numFmt w:val="bullet"/>
      <w:lvlText w:val="•"/>
      <w:lvlJc w:val="left"/>
      <w:pPr>
        <w:tabs>
          <w:tab w:val="num" w:pos="2520"/>
        </w:tabs>
        <w:ind w:left="2520" w:hanging="360"/>
      </w:pPr>
      <w:rPr>
        <w:rFonts w:ascii="Arial" w:hAnsi="Arial" w:cs="Times New Roman" w:hint="default"/>
      </w:rPr>
    </w:lvl>
    <w:lvl w:ilvl="4" w:tplc="97E6C7B8">
      <w:start w:val="1"/>
      <w:numFmt w:val="bullet"/>
      <w:lvlText w:val="•"/>
      <w:lvlJc w:val="left"/>
      <w:pPr>
        <w:tabs>
          <w:tab w:val="num" w:pos="3240"/>
        </w:tabs>
        <w:ind w:left="3240" w:hanging="360"/>
      </w:pPr>
      <w:rPr>
        <w:rFonts w:ascii="Arial" w:hAnsi="Arial" w:cs="Times New Roman" w:hint="default"/>
      </w:rPr>
    </w:lvl>
    <w:lvl w:ilvl="5" w:tplc="8D509DE8">
      <w:start w:val="1"/>
      <w:numFmt w:val="bullet"/>
      <w:lvlText w:val="•"/>
      <w:lvlJc w:val="left"/>
      <w:pPr>
        <w:tabs>
          <w:tab w:val="num" w:pos="3960"/>
        </w:tabs>
        <w:ind w:left="3960" w:hanging="360"/>
      </w:pPr>
      <w:rPr>
        <w:rFonts w:ascii="Arial" w:hAnsi="Arial" w:cs="Times New Roman" w:hint="default"/>
      </w:rPr>
    </w:lvl>
    <w:lvl w:ilvl="6" w:tplc="3F58773C">
      <w:start w:val="1"/>
      <w:numFmt w:val="bullet"/>
      <w:lvlText w:val="•"/>
      <w:lvlJc w:val="left"/>
      <w:pPr>
        <w:tabs>
          <w:tab w:val="num" w:pos="4680"/>
        </w:tabs>
        <w:ind w:left="4680" w:hanging="360"/>
      </w:pPr>
      <w:rPr>
        <w:rFonts w:ascii="Arial" w:hAnsi="Arial" w:cs="Times New Roman" w:hint="default"/>
      </w:rPr>
    </w:lvl>
    <w:lvl w:ilvl="7" w:tplc="B6A461DA">
      <w:start w:val="1"/>
      <w:numFmt w:val="bullet"/>
      <w:lvlText w:val="•"/>
      <w:lvlJc w:val="left"/>
      <w:pPr>
        <w:tabs>
          <w:tab w:val="num" w:pos="5400"/>
        </w:tabs>
        <w:ind w:left="5400" w:hanging="360"/>
      </w:pPr>
      <w:rPr>
        <w:rFonts w:ascii="Arial" w:hAnsi="Arial" w:cs="Times New Roman" w:hint="default"/>
      </w:rPr>
    </w:lvl>
    <w:lvl w:ilvl="8" w:tplc="78664E7C">
      <w:start w:val="1"/>
      <w:numFmt w:val="bullet"/>
      <w:lvlText w:val="•"/>
      <w:lvlJc w:val="left"/>
      <w:pPr>
        <w:tabs>
          <w:tab w:val="num" w:pos="6120"/>
        </w:tabs>
        <w:ind w:left="6120" w:hanging="360"/>
      </w:pPr>
      <w:rPr>
        <w:rFonts w:ascii="Arial" w:hAnsi="Arial" w:cs="Times New Roman" w:hint="default"/>
      </w:rPr>
    </w:lvl>
  </w:abstractNum>
  <w:abstractNum w:abstractNumId="2" w15:restartNumberingAfterBreak="0">
    <w:nsid w:val="0ADC427B"/>
    <w:multiLevelType w:val="hybridMultilevel"/>
    <w:tmpl w:val="6D40B9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10E7296"/>
    <w:multiLevelType w:val="hybridMultilevel"/>
    <w:tmpl w:val="760E69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AE74B3D"/>
    <w:multiLevelType w:val="hybridMultilevel"/>
    <w:tmpl w:val="B0BA7FB2"/>
    <w:lvl w:ilvl="0" w:tplc="253A7F9E">
      <w:start w:val="1"/>
      <w:numFmt w:val="bullet"/>
      <w:lvlText w:val="•"/>
      <w:lvlJc w:val="left"/>
      <w:pPr>
        <w:tabs>
          <w:tab w:val="num" w:pos="360"/>
        </w:tabs>
        <w:ind w:left="360" w:hanging="360"/>
      </w:pPr>
      <w:rPr>
        <w:rFonts w:ascii="Arial" w:hAnsi="Arial" w:cs="Times New Roman" w:hint="default"/>
      </w:rPr>
    </w:lvl>
    <w:lvl w:ilvl="1" w:tplc="65062846">
      <w:start w:val="1"/>
      <w:numFmt w:val="bullet"/>
      <w:lvlText w:val="•"/>
      <w:lvlJc w:val="left"/>
      <w:pPr>
        <w:tabs>
          <w:tab w:val="num" w:pos="1080"/>
        </w:tabs>
        <w:ind w:left="1080" w:hanging="360"/>
      </w:pPr>
      <w:rPr>
        <w:rFonts w:ascii="Arial" w:hAnsi="Arial" w:cs="Times New Roman" w:hint="default"/>
      </w:rPr>
    </w:lvl>
    <w:lvl w:ilvl="2" w:tplc="6B5E6DF0">
      <w:start w:val="1"/>
      <w:numFmt w:val="bullet"/>
      <w:lvlText w:val="•"/>
      <w:lvlJc w:val="left"/>
      <w:pPr>
        <w:tabs>
          <w:tab w:val="num" w:pos="1800"/>
        </w:tabs>
        <w:ind w:left="1800" w:hanging="360"/>
      </w:pPr>
      <w:rPr>
        <w:rFonts w:ascii="Arial" w:hAnsi="Arial" w:cs="Times New Roman" w:hint="default"/>
      </w:rPr>
    </w:lvl>
    <w:lvl w:ilvl="3" w:tplc="EA36BF9E">
      <w:start w:val="1"/>
      <w:numFmt w:val="bullet"/>
      <w:lvlText w:val="•"/>
      <w:lvlJc w:val="left"/>
      <w:pPr>
        <w:tabs>
          <w:tab w:val="num" w:pos="2520"/>
        </w:tabs>
        <w:ind w:left="2520" w:hanging="360"/>
      </w:pPr>
      <w:rPr>
        <w:rFonts w:ascii="Arial" w:hAnsi="Arial" w:cs="Times New Roman" w:hint="default"/>
      </w:rPr>
    </w:lvl>
    <w:lvl w:ilvl="4" w:tplc="AD9CD84E">
      <w:start w:val="1"/>
      <w:numFmt w:val="bullet"/>
      <w:lvlText w:val="•"/>
      <w:lvlJc w:val="left"/>
      <w:pPr>
        <w:tabs>
          <w:tab w:val="num" w:pos="3240"/>
        </w:tabs>
        <w:ind w:left="3240" w:hanging="360"/>
      </w:pPr>
      <w:rPr>
        <w:rFonts w:ascii="Arial" w:hAnsi="Arial" w:cs="Times New Roman" w:hint="default"/>
      </w:rPr>
    </w:lvl>
    <w:lvl w:ilvl="5" w:tplc="D7440468">
      <w:start w:val="1"/>
      <w:numFmt w:val="bullet"/>
      <w:lvlText w:val="•"/>
      <w:lvlJc w:val="left"/>
      <w:pPr>
        <w:tabs>
          <w:tab w:val="num" w:pos="3960"/>
        </w:tabs>
        <w:ind w:left="3960" w:hanging="360"/>
      </w:pPr>
      <w:rPr>
        <w:rFonts w:ascii="Arial" w:hAnsi="Arial" w:cs="Times New Roman" w:hint="default"/>
      </w:rPr>
    </w:lvl>
    <w:lvl w:ilvl="6" w:tplc="4DD0ADFA">
      <w:start w:val="1"/>
      <w:numFmt w:val="bullet"/>
      <w:lvlText w:val="•"/>
      <w:lvlJc w:val="left"/>
      <w:pPr>
        <w:tabs>
          <w:tab w:val="num" w:pos="4680"/>
        </w:tabs>
        <w:ind w:left="4680" w:hanging="360"/>
      </w:pPr>
      <w:rPr>
        <w:rFonts w:ascii="Arial" w:hAnsi="Arial" w:cs="Times New Roman" w:hint="default"/>
      </w:rPr>
    </w:lvl>
    <w:lvl w:ilvl="7" w:tplc="D5A0F2B2">
      <w:start w:val="1"/>
      <w:numFmt w:val="bullet"/>
      <w:lvlText w:val="•"/>
      <w:lvlJc w:val="left"/>
      <w:pPr>
        <w:tabs>
          <w:tab w:val="num" w:pos="5400"/>
        </w:tabs>
        <w:ind w:left="5400" w:hanging="360"/>
      </w:pPr>
      <w:rPr>
        <w:rFonts w:ascii="Arial" w:hAnsi="Arial" w:cs="Times New Roman" w:hint="default"/>
      </w:rPr>
    </w:lvl>
    <w:lvl w:ilvl="8" w:tplc="61AA3944">
      <w:start w:val="1"/>
      <w:numFmt w:val="bullet"/>
      <w:lvlText w:val="•"/>
      <w:lvlJc w:val="left"/>
      <w:pPr>
        <w:tabs>
          <w:tab w:val="num" w:pos="6120"/>
        </w:tabs>
        <w:ind w:left="6120" w:hanging="360"/>
      </w:pPr>
      <w:rPr>
        <w:rFonts w:ascii="Arial" w:hAnsi="Arial" w:cs="Times New Roman" w:hint="default"/>
      </w:rPr>
    </w:lvl>
  </w:abstractNum>
  <w:abstractNum w:abstractNumId="5" w15:restartNumberingAfterBreak="0">
    <w:nsid w:val="29671555"/>
    <w:multiLevelType w:val="hybridMultilevel"/>
    <w:tmpl w:val="10F85D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5900343"/>
    <w:multiLevelType w:val="hybridMultilevel"/>
    <w:tmpl w:val="76DAFA38"/>
    <w:lvl w:ilvl="0" w:tplc="3BCA0CCA">
      <w:start w:val="1"/>
      <w:numFmt w:val="bullet"/>
      <w:lvlText w:val="•"/>
      <w:lvlJc w:val="left"/>
      <w:pPr>
        <w:tabs>
          <w:tab w:val="num" w:pos="360"/>
        </w:tabs>
        <w:ind w:left="360" w:hanging="360"/>
      </w:pPr>
      <w:rPr>
        <w:rFonts w:ascii="Arial" w:hAnsi="Arial" w:cs="Times New Roman" w:hint="default"/>
      </w:rPr>
    </w:lvl>
    <w:lvl w:ilvl="1" w:tplc="2754122E">
      <w:start w:val="1"/>
      <w:numFmt w:val="bullet"/>
      <w:lvlText w:val="•"/>
      <w:lvlJc w:val="left"/>
      <w:pPr>
        <w:tabs>
          <w:tab w:val="num" w:pos="1080"/>
        </w:tabs>
        <w:ind w:left="1080" w:hanging="360"/>
      </w:pPr>
      <w:rPr>
        <w:rFonts w:ascii="Arial" w:hAnsi="Arial" w:cs="Times New Roman" w:hint="default"/>
      </w:rPr>
    </w:lvl>
    <w:lvl w:ilvl="2" w:tplc="E57E8DD2">
      <w:start w:val="1"/>
      <w:numFmt w:val="bullet"/>
      <w:lvlText w:val="•"/>
      <w:lvlJc w:val="left"/>
      <w:pPr>
        <w:tabs>
          <w:tab w:val="num" w:pos="1800"/>
        </w:tabs>
        <w:ind w:left="1800" w:hanging="360"/>
      </w:pPr>
      <w:rPr>
        <w:rFonts w:ascii="Arial" w:hAnsi="Arial" w:cs="Times New Roman" w:hint="default"/>
      </w:rPr>
    </w:lvl>
    <w:lvl w:ilvl="3" w:tplc="2482D4FE">
      <w:start w:val="1"/>
      <w:numFmt w:val="bullet"/>
      <w:lvlText w:val="•"/>
      <w:lvlJc w:val="left"/>
      <w:pPr>
        <w:tabs>
          <w:tab w:val="num" w:pos="2520"/>
        </w:tabs>
        <w:ind w:left="2520" w:hanging="360"/>
      </w:pPr>
      <w:rPr>
        <w:rFonts w:ascii="Arial" w:hAnsi="Arial" w:cs="Times New Roman" w:hint="default"/>
      </w:rPr>
    </w:lvl>
    <w:lvl w:ilvl="4" w:tplc="D4625DBE">
      <w:start w:val="1"/>
      <w:numFmt w:val="bullet"/>
      <w:lvlText w:val="•"/>
      <w:lvlJc w:val="left"/>
      <w:pPr>
        <w:tabs>
          <w:tab w:val="num" w:pos="3240"/>
        </w:tabs>
        <w:ind w:left="3240" w:hanging="360"/>
      </w:pPr>
      <w:rPr>
        <w:rFonts w:ascii="Arial" w:hAnsi="Arial" w:cs="Times New Roman" w:hint="default"/>
      </w:rPr>
    </w:lvl>
    <w:lvl w:ilvl="5" w:tplc="C84ED948">
      <w:start w:val="1"/>
      <w:numFmt w:val="bullet"/>
      <w:lvlText w:val="•"/>
      <w:lvlJc w:val="left"/>
      <w:pPr>
        <w:tabs>
          <w:tab w:val="num" w:pos="3960"/>
        </w:tabs>
        <w:ind w:left="3960" w:hanging="360"/>
      </w:pPr>
      <w:rPr>
        <w:rFonts w:ascii="Arial" w:hAnsi="Arial" w:cs="Times New Roman" w:hint="default"/>
      </w:rPr>
    </w:lvl>
    <w:lvl w:ilvl="6" w:tplc="4B56A89E">
      <w:start w:val="1"/>
      <w:numFmt w:val="bullet"/>
      <w:lvlText w:val="•"/>
      <w:lvlJc w:val="left"/>
      <w:pPr>
        <w:tabs>
          <w:tab w:val="num" w:pos="4680"/>
        </w:tabs>
        <w:ind w:left="4680" w:hanging="360"/>
      </w:pPr>
      <w:rPr>
        <w:rFonts w:ascii="Arial" w:hAnsi="Arial" w:cs="Times New Roman" w:hint="default"/>
      </w:rPr>
    </w:lvl>
    <w:lvl w:ilvl="7" w:tplc="54268B1E">
      <w:start w:val="1"/>
      <w:numFmt w:val="bullet"/>
      <w:lvlText w:val="•"/>
      <w:lvlJc w:val="left"/>
      <w:pPr>
        <w:tabs>
          <w:tab w:val="num" w:pos="5400"/>
        </w:tabs>
        <w:ind w:left="5400" w:hanging="360"/>
      </w:pPr>
      <w:rPr>
        <w:rFonts w:ascii="Arial" w:hAnsi="Arial" w:cs="Times New Roman" w:hint="default"/>
      </w:rPr>
    </w:lvl>
    <w:lvl w:ilvl="8" w:tplc="6060B388">
      <w:start w:val="1"/>
      <w:numFmt w:val="bullet"/>
      <w:lvlText w:val="•"/>
      <w:lvlJc w:val="left"/>
      <w:pPr>
        <w:tabs>
          <w:tab w:val="num" w:pos="6120"/>
        </w:tabs>
        <w:ind w:left="6120" w:hanging="360"/>
      </w:pPr>
      <w:rPr>
        <w:rFonts w:ascii="Arial" w:hAnsi="Arial" w:cs="Times New Roman" w:hint="default"/>
      </w:rPr>
    </w:lvl>
  </w:abstractNum>
  <w:abstractNum w:abstractNumId="7" w15:restartNumberingAfterBreak="0">
    <w:nsid w:val="3B545557"/>
    <w:multiLevelType w:val="hybridMultilevel"/>
    <w:tmpl w:val="AD1A689A"/>
    <w:lvl w:ilvl="0" w:tplc="65783658">
      <w:start w:val="1"/>
      <w:numFmt w:val="bullet"/>
      <w:pStyle w:val="Bullets"/>
      <w:lvlText w:val=""/>
      <w:lvlJc w:val="left"/>
      <w:pPr>
        <w:ind w:left="360" w:hanging="360"/>
      </w:pPr>
      <w:rPr>
        <w:rFonts w:ascii="Symbol" w:hAnsi="Symbol" w:hint="default"/>
        <w:color w:val="0070F1"/>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B6D74DB"/>
    <w:multiLevelType w:val="hybridMultilevel"/>
    <w:tmpl w:val="A100FA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3137070"/>
    <w:multiLevelType w:val="hybridMultilevel"/>
    <w:tmpl w:val="D5F802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60C0A83"/>
    <w:multiLevelType w:val="hybridMultilevel"/>
    <w:tmpl w:val="E104D6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FC96290"/>
    <w:multiLevelType w:val="hybridMultilevel"/>
    <w:tmpl w:val="E68E8A98"/>
    <w:lvl w:ilvl="0" w:tplc="0C090001">
      <w:start w:val="1"/>
      <w:numFmt w:val="bullet"/>
      <w:lvlText w:val=""/>
      <w:lvlJc w:val="left"/>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04B59A0"/>
    <w:multiLevelType w:val="hybridMultilevel"/>
    <w:tmpl w:val="DEFE58C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62E36782"/>
    <w:multiLevelType w:val="hybridMultilevel"/>
    <w:tmpl w:val="472852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3A324D4"/>
    <w:multiLevelType w:val="hybridMultilevel"/>
    <w:tmpl w:val="4306CB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68306F6"/>
    <w:multiLevelType w:val="hybridMultilevel"/>
    <w:tmpl w:val="80E2FD7A"/>
    <w:lvl w:ilvl="0" w:tplc="B71C58E6">
      <w:start w:val="1"/>
      <w:numFmt w:val="bullet"/>
      <w:lvlText w:val="•"/>
      <w:lvlJc w:val="left"/>
      <w:pPr>
        <w:tabs>
          <w:tab w:val="num" w:pos="360"/>
        </w:tabs>
        <w:ind w:left="360" w:hanging="360"/>
      </w:pPr>
      <w:rPr>
        <w:rFonts w:ascii="Arial" w:hAnsi="Arial" w:cs="Times New Roman" w:hint="default"/>
      </w:rPr>
    </w:lvl>
    <w:lvl w:ilvl="1" w:tplc="EDC666D0">
      <w:start w:val="1"/>
      <w:numFmt w:val="bullet"/>
      <w:lvlText w:val="•"/>
      <w:lvlJc w:val="left"/>
      <w:pPr>
        <w:tabs>
          <w:tab w:val="num" w:pos="1080"/>
        </w:tabs>
        <w:ind w:left="1080" w:hanging="360"/>
      </w:pPr>
      <w:rPr>
        <w:rFonts w:ascii="Arial" w:hAnsi="Arial" w:cs="Times New Roman" w:hint="default"/>
      </w:rPr>
    </w:lvl>
    <w:lvl w:ilvl="2" w:tplc="C7EA08C0">
      <w:start w:val="1"/>
      <w:numFmt w:val="bullet"/>
      <w:lvlText w:val="•"/>
      <w:lvlJc w:val="left"/>
      <w:pPr>
        <w:tabs>
          <w:tab w:val="num" w:pos="1800"/>
        </w:tabs>
        <w:ind w:left="1800" w:hanging="360"/>
      </w:pPr>
      <w:rPr>
        <w:rFonts w:ascii="Arial" w:hAnsi="Arial" w:cs="Times New Roman" w:hint="default"/>
      </w:rPr>
    </w:lvl>
    <w:lvl w:ilvl="3" w:tplc="FEC221B0">
      <w:start w:val="1"/>
      <w:numFmt w:val="bullet"/>
      <w:lvlText w:val="•"/>
      <w:lvlJc w:val="left"/>
      <w:pPr>
        <w:tabs>
          <w:tab w:val="num" w:pos="2520"/>
        </w:tabs>
        <w:ind w:left="2520" w:hanging="360"/>
      </w:pPr>
      <w:rPr>
        <w:rFonts w:ascii="Arial" w:hAnsi="Arial" w:cs="Times New Roman" w:hint="default"/>
      </w:rPr>
    </w:lvl>
    <w:lvl w:ilvl="4" w:tplc="DDE2AEBE">
      <w:start w:val="1"/>
      <w:numFmt w:val="bullet"/>
      <w:lvlText w:val="•"/>
      <w:lvlJc w:val="left"/>
      <w:pPr>
        <w:tabs>
          <w:tab w:val="num" w:pos="3240"/>
        </w:tabs>
        <w:ind w:left="3240" w:hanging="360"/>
      </w:pPr>
      <w:rPr>
        <w:rFonts w:ascii="Arial" w:hAnsi="Arial" w:cs="Times New Roman" w:hint="default"/>
      </w:rPr>
    </w:lvl>
    <w:lvl w:ilvl="5" w:tplc="4484CF28">
      <w:start w:val="1"/>
      <w:numFmt w:val="bullet"/>
      <w:lvlText w:val="•"/>
      <w:lvlJc w:val="left"/>
      <w:pPr>
        <w:tabs>
          <w:tab w:val="num" w:pos="3960"/>
        </w:tabs>
        <w:ind w:left="3960" w:hanging="360"/>
      </w:pPr>
      <w:rPr>
        <w:rFonts w:ascii="Arial" w:hAnsi="Arial" w:cs="Times New Roman" w:hint="default"/>
      </w:rPr>
    </w:lvl>
    <w:lvl w:ilvl="6" w:tplc="DEF27DB4">
      <w:start w:val="1"/>
      <w:numFmt w:val="bullet"/>
      <w:lvlText w:val="•"/>
      <w:lvlJc w:val="left"/>
      <w:pPr>
        <w:tabs>
          <w:tab w:val="num" w:pos="4680"/>
        </w:tabs>
        <w:ind w:left="4680" w:hanging="360"/>
      </w:pPr>
      <w:rPr>
        <w:rFonts w:ascii="Arial" w:hAnsi="Arial" w:cs="Times New Roman" w:hint="default"/>
      </w:rPr>
    </w:lvl>
    <w:lvl w:ilvl="7" w:tplc="DA10378C">
      <w:start w:val="1"/>
      <w:numFmt w:val="bullet"/>
      <w:lvlText w:val="•"/>
      <w:lvlJc w:val="left"/>
      <w:pPr>
        <w:tabs>
          <w:tab w:val="num" w:pos="5400"/>
        </w:tabs>
        <w:ind w:left="5400" w:hanging="360"/>
      </w:pPr>
      <w:rPr>
        <w:rFonts w:ascii="Arial" w:hAnsi="Arial" w:cs="Times New Roman" w:hint="default"/>
      </w:rPr>
    </w:lvl>
    <w:lvl w:ilvl="8" w:tplc="4F166FD2">
      <w:start w:val="1"/>
      <w:numFmt w:val="bullet"/>
      <w:lvlText w:val="•"/>
      <w:lvlJc w:val="left"/>
      <w:pPr>
        <w:tabs>
          <w:tab w:val="num" w:pos="6120"/>
        </w:tabs>
        <w:ind w:left="6120" w:hanging="360"/>
      </w:pPr>
      <w:rPr>
        <w:rFonts w:ascii="Arial" w:hAnsi="Arial" w:cs="Times New Roman" w:hint="default"/>
      </w:rPr>
    </w:lvl>
  </w:abstractNum>
  <w:abstractNum w:abstractNumId="16" w15:restartNumberingAfterBreak="0">
    <w:nsid w:val="72DB10FA"/>
    <w:multiLevelType w:val="hybridMultilevel"/>
    <w:tmpl w:val="E6806660"/>
    <w:lvl w:ilvl="0" w:tplc="F7ECE00A">
      <w:start w:val="1"/>
      <w:numFmt w:val="bullet"/>
      <w:lvlText w:val="•"/>
      <w:lvlJc w:val="left"/>
      <w:pPr>
        <w:tabs>
          <w:tab w:val="num" w:pos="360"/>
        </w:tabs>
        <w:ind w:left="360" w:hanging="360"/>
      </w:pPr>
      <w:rPr>
        <w:rFonts w:ascii="Arial" w:hAnsi="Arial" w:cs="Times New Roman" w:hint="default"/>
      </w:rPr>
    </w:lvl>
    <w:lvl w:ilvl="1" w:tplc="A080E5DC">
      <w:start w:val="1"/>
      <w:numFmt w:val="bullet"/>
      <w:lvlText w:val="•"/>
      <w:lvlJc w:val="left"/>
      <w:pPr>
        <w:tabs>
          <w:tab w:val="num" w:pos="1080"/>
        </w:tabs>
        <w:ind w:left="1080" w:hanging="360"/>
      </w:pPr>
      <w:rPr>
        <w:rFonts w:ascii="Arial" w:hAnsi="Arial" w:cs="Times New Roman" w:hint="default"/>
      </w:rPr>
    </w:lvl>
    <w:lvl w:ilvl="2" w:tplc="C27A420E">
      <w:start w:val="1"/>
      <w:numFmt w:val="bullet"/>
      <w:lvlText w:val="•"/>
      <w:lvlJc w:val="left"/>
      <w:pPr>
        <w:tabs>
          <w:tab w:val="num" w:pos="1800"/>
        </w:tabs>
        <w:ind w:left="1800" w:hanging="360"/>
      </w:pPr>
      <w:rPr>
        <w:rFonts w:ascii="Arial" w:hAnsi="Arial" w:cs="Times New Roman" w:hint="default"/>
      </w:rPr>
    </w:lvl>
    <w:lvl w:ilvl="3" w:tplc="A24CC846">
      <w:start w:val="1"/>
      <w:numFmt w:val="bullet"/>
      <w:lvlText w:val="•"/>
      <w:lvlJc w:val="left"/>
      <w:pPr>
        <w:tabs>
          <w:tab w:val="num" w:pos="2520"/>
        </w:tabs>
        <w:ind w:left="2520" w:hanging="360"/>
      </w:pPr>
      <w:rPr>
        <w:rFonts w:ascii="Arial" w:hAnsi="Arial" w:cs="Times New Roman" w:hint="default"/>
      </w:rPr>
    </w:lvl>
    <w:lvl w:ilvl="4" w:tplc="D8CCA96E">
      <w:start w:val="1"/>
      <w:numFmt w:val="bullet"/>
      <w:lvlText w:val="•"/>
      <w:lvlJc w:val="left"/>
      <w:pPr>
        <w:tabs>
          <w:tab w:val="num" w:pos="3240"/>
        </w:tabs>
        <w:ind w:left="3240" w:hanging="360"/>
      </w:pPr>
      <w:rPr>
        <w:rFonts w:ascii="Arial" w:hAnsi="Arial" w:cs="Times New Roman" w:hint="default"/>
      </w:rPr>
    </w:lvl>
    <w:lvl w:ilvl="5" w:tplc="64B26988">
      <w:start w:val="1"/>
      <w:numFmt w:val="bullet"/>
      <w:lvlText w:val="•"/>
      <w:lvlJc w:val="left"/>
      <w:pPr>
        <w:tabs>
          <w:tab w:val="num" w:pos="3960"/>
        </w:tabs>
        <w:ind w:left="3960" w:hanging="360"/>
      </w:pPr>
      <w:rPr>
        <w:rFonts w:ascii="Arial" w:hAnsi="Arial" w:cs="Times New Roman" w:hint="default"/>
      </w:rPr>
    </w:lvl>
    <w:lvl w:ilvl="6" w:tplc="1CD0B826">
      <w:start w:val="1"/>
      <w:numFmt w:val="bullet"/>
      <w:lvlText w:val="•"/>
      <w:lvlJc w:val="left"/>
      <w:pPr>
        <w:tabs>
          <w:tab w:val="num" w:pos="4680"/>
        </w:tabs>
        <w:ind w:left="4680" w:hanging="360"/>
      </w:pPr>
      <w:rPr>
        <w:rFonts w:ascii="Arial" w:hAnsi="Arial" w:cs="Times New Roman" w:hint="default"/>
      </w:rPr>
    </w:lvl>
    <w:lvl w:ilvl="7" w:tplc="1172872C">
      <w:start w:val="1"/>
      <w:numFmt w:val="bullet"/>
      <w:lvlText w:val="•"/>
      <w:lvlJc w:val="left"/>
      <w:pPr>
        <w:tabs>
          <w:tab w:val="num" w:pos="5400"/>
        </w:tabs>
        <w:ind w:left="5400" w:hanging="360"/>
      </w:pPr>
      <w:rPr>
        <w:rFonts w:ascii="Arial" w:hAnsi="Arial" w:cs="Times New Roman" w:hint="default"/>
      </w:rPr>
    </w:lvl>
    <w:lvl w:ilvl="8" w:tplc="04D0120A">
      <w:start w:val="1"/>
      <w:numFmt w:val="bullet"/>
      <w:lvlText w:val="•"/>
      <w:lvlJc w:val="left"/>
      <w:pPr>
        <w:tabs>
          <w:tab w:val="num" w:pos="6120"/>
        </w:tabs>
        <w:ind w:left="6120" w:hanging="360"/>
      </w:pPr>
      <w:rPr>
        <w:rFonts w:ascii="Arial" w:hAnsi="Arial" w:cs="Times New Roman" w:hint="default"/>
      </w:rPr>
    </w:lvl>
  </w:abstractNum>
  <w:abstractNum w:abstractNumId="17" w15:restartNumberingAfterBreak="0">
    <w:nsid w:val="79087004"/>
    <w:multiLevelType w:val="hybridMultilevel"/>
    <w:tmpl w:val="33CCA3F8"/>
    <w:lvl w:ilvl="0" w:tplc="D69810BE">
      <w:start w:val="1"/>
      <w:numFmt w:val="bullet"/>
      <w:lvlText w:val="•"/>
      <w:lvlJc w:val="left"/>
      <w:pPr>
        <w:tabs>
          <w:tab w:val="num" w:pos="360"/>
        </w:tabs>
        <w:ind w:left="360" w:hanging="360"/>
      </w:pPr>
      <w:rPr>
        <w:rFonts w:ascii="Arial" w:hAnsi="Arial" w:cs="Times New Roman" w:hint="default"/>
      </w:rPr>
    </w:lvl>
    <w:lvl w:ilvl="1" w:tplc="87E28952">
      <w:start w:val="1"/>
      <w:numFmt w:val="bullet"/>
      <w:lvlText w:val="•"/>
      <w:lvlJc w:val="left"/>
      <w:pPr>
        <w:tabs>
          <w:tab w:val="num" w:pos="1080"/>
        </w:tabs>
        <w:ind w:left="1080" w:hanging="360"/>
      </w:pPr>
      <w:rPr>
        <w:rFonts w:ascii="Arial" w:hAnsi="Arial" w:cs="Times New Roman" w:hint="default"/>
      </w:rPr>
    </w:lvl>
    <w:lvl w:ilvl="2" w:tplc="88C69800">
      <w:start w:val="1"/>
      <w:numFmt w:val="bullet"/>
      <w:lvlText w:val="•"/>
      <w:lvlJc w:val="left"/>
      <w:pPr>
        <w:tabs>
          <w:tab w:val="num" w:pos="1800"/>
        </w:tabs>
        <w:ind w:left="1800" w:hanging="360"/>
      </w:pPr>
      <w:rPr>
        <w:rFonts w:ascii="Arial" w:hAnsi="Arial" w:cs="Times New Roman" w:hint="default"/>
      </w:rPr>
    </w:lvl>
    <w:lvl w:ilvl="3" w:tplc="B5DEAA3A">
      <w:start w:val="1"/>
      <w:numFmt w:val="bullet"/>
      <w:lvlText w:val="•"/>
      <w:lvlJc w:val="left"/>
      <w:pPr>
        <w:tabs>
          <w:tab w:val="num" w:pos="2520"/>
        </w:tabs>
        <w:ind w:left="2520" w:hanging="360"/>
      </w:pPr>
      <w:rPr>
        <w:rFonts w:ascii="Arial" w:hAnsi="Arial" w:cs="Times New Roman" w:hint="default"/>
      </w:rPr>
    </w:lvl>
    <w:lvl w:ilvl="4" w:tplc="003698E6">
      <w:start w:val="1"/>
      <w:numFmt w:val="bullet"/>
      <w:lvlText w:val="•"/>
      <w:lvlJc w:val="left"/>
      <w:pPr>
        <w:tabs>
          <w:tab w:val="num" w:pos="3240"/>
        </w:tabs>
        <w:ind w:left="3240" w:hanging="360"/>
      </w:pPr>
      <w:rPr>
        <w:rFonts w:ascii="Arial" w:hAnsi="Arial" w:cs="Times New Roman" w:hint="default"/>
      </w:rPr>
    </w:lvl>
    <w:lvl w:ilvl="5" w:tplc="4DD2C570">
      <w:start w:val="1"/>
      <w:numFmt w:val="bullet"/>
      <w:lvlText w:val="•"/>
      <w:lvlJc w:val="left"/>
      <w:pPr>
        <w:tabs>
          <w:tab w:val="num" w:pos="3960"/>
        </w:tabs>
        <w:ind w:left="3960" w:hanging="360"/>
      </w:pPr>
      <w:rPr>
        <w:rFonts w:ascii="Arial" w:hAnsi="Arial" w:cs="Times New Roman" w:hint="default"/>
      </w:rPr>
    </w:lvl>
    <w:lvl w:ilvl="6" w:tplc="CCF8D6FC">
      <w:start w:val="1"/>
      <w:numFmt w:val="bullet"/>
      <w:lvlText w:val="•"/>
      <w:lvlJc w:val="left"/>
      <w:pPr>
        <w:tabs>
          <w:tab w:val="num" w:pos="4680"/>
        </w:tabs>
        <w:ind w:left="4680" w:hanging="360"/>
      </w:pPr>
      <w:rPr>
        <w:rFonts w:ascii="Arial" w:hAnsi="Arial" w:cs="Times New Roman" w:hint="default"/>
      </w:rPr>
    </w:lvl>
    <w:lvl w:ilvl="7" w:tplc="2EA4CDE2">
      <w:start w:val="1"/>
      <w:numFmt w:val="bullet"/>
      <w:lvlText w:val="•"/>
      <w:lvlJc w:val="left"/>
      <w:pPr>
        <w:tabs>
          <w:tab w:val="num" w:pos="5400"/>
        </w:tabs>
        <w:ind w:left="5400" w:hanging="360"/>
      </w:pPr>
      <w:rPr>
        <w:rFonts w:ascii="Arial" w:hAnsi="Arial" w:cs="Times New Roman" w:hint="default"/>
      </w:rPr>
    </w:lvl>
    <w:lvl w:ilvl="8" w:tplc="EABAA170">
      <w:start w:val="1"/>
      <w:numFmt w:val="bullet"/>
      <w:lvlText w:val="•"/>
      <w:lvlJc w:val="left"/>
      <w:pPr>
        <w:tabs>
          <w:tab w:val="num" w:pos="6120"/>
        </w:tabs>
        <w:ind w:left="6120" w:hanging="360"/>
      </w:pPr>
      <w:rPr>
        <w:rFonts w:ascii="Arial" w:hAnsi="Arial" w:cs="Times New Roman" w:hint="default"/>
      </w:rPr>
    </w:lvl>
  </w:abstractNum>
  <w:abstractNum w:abstractNumId="18" w15:restartNumberingAfterBreak="0">
    <w:nsid w:val="7F9417FE"/>
    <w:multiLevelType w:val="hybridMultilevel"/>
    <w:tmpl w:val="3FE23D0C"/>
    <w:lvl w:ilvl="0" w:tplc="6A7C6D84">
      <w:start w:val="1"/>
      <w:numFmt w:val="decimal"/>
      <w:pStyle w:val="Numberedlist"/>
      <w:lvlText w:val="%1."/>
      <w:lvlJc w:val="left"/>
      <w:pPr>
        <w:ind w:left="360" w:hanging="360"/>
      </w:pPr>
      <w:rPr>
        <w:rFonts w:hint="default"/>
        <w:b/>
        <w:color w:val="0070F1"/>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976036369">
    <w:abstractNumId w:val="7"/>
  </w:num>
  <w:num w:numId="2" w16cid:durableId="163327936">
    <w:abstractNumId w:val="18"/>
  </w:num>
  <w:num w:numId="3" w16cid:durableId="1482229530">
    <w:abstractNumId w:val="14"/>
  </w:num>
  <w:num w:numId="4" w16cid:durableId="977733563">
    <w:abstractNumId w:val="8"/>
  </w:num>
  <w:num w:numId="5" w16cid:durableId="1437141530">
    <w:abstractNumId w:val="0"/>
  </w:num>
  <w:num w:numId="6" w16cid:durableId="1085029674">
    <w:abstractNumId w:val="3"/>
  </w:num>
  <w:num w:numId="7" w16cid:durableId="285703254">
    <w:abstractNumId w:val="7"/>
  </w:num>
  <w:num w:numId="8" w16cid:durableId="176887789">
    <w:abstractNumId w:val="18"/>
    <w:lvlOverride w:ilvl="0">
      <w:startOverride w:val="1"/>
    </w:lvlOverride>
    <w:lvlOverride w:ilvl="1"/>
    <w:lvlOverride w:ilvl="2"/>
    <w:lvlOverride w:ilvl="3"/>
    <w:lvlOverride w:ilvl="4"/>
    <w:lvlOverride w:ilvl="5"/>
    <w:lvlOverride w:ilvl="6"/>
    <w:lvlOverride w:ilvl="7"/>
    <w:lvlOverride w:ilvl="8"/>
  </w:num>
  <w:num w:numId="9" w16cid:durableId="757601494">
    <w:abstractNumId w:val="7"/>
  </w:num>
  <w:num w:numId="10" w16cid:durableId="668682503">
    <w:abstractNumId w:val="18"/>
    <w:lvlOverride w:ilvl="0">
      <w:startOverride w:val="1"/>
    </w:lvlOverride>
    <w:lvlOverride w:ilvl="1"/>
    <w:lvlOverride w:ilvl="2"/>
    <w:lvlOverride w:ilvl="3"/>
    <w:lvlOverride w:ilvl="4"/>
    <w:lvlOverride w:ilvl="5"/>
    <w:lvlOverride w:ilvl="6"/>
    <w:lvlOverride w:ilvl="7"/>
    <w:lvlOverride w:ilvl="8"/>
  </w:num>
  <w:num w:numId="11" w16cid:durableId="726417358">
    <w:abstractNumId w:val="12"/>
  </w:num>
  <w:num w:numId="12" w16cid:durableId="1008216277">
    <w:abstractNumId w:val="11"/>
  </w:num>
  <w:num w:numId="13" w16cid:durableId="200750640">
    <w:abstractNumId w:val="2"/>
  </w:num>
  <w:num w:numId="14" w16cid:durableId="247347355">
    <w:abstractNumId w:val="13"/>
  </w:num>
  <w:num w:numId="15" w16cid:durableId="2005426006">
    <w:abstractNumId w:val="9"/>
  </w:num>
  <w:num w:numId="16" w16cid:durableId="1793209471">
    <w:abstractNumId w:val="10"/>
  </w:num>
  <w:num w:numId="17" w16cid:durableId="296496647">
    <w:abstractNumId w:val="4"/>
  </w:num>
  <w:num w:numId="18" w16cid:durableId="636378667">
    <w:abstractNumId w:val="15"/>
  </w:num>
  <w:num w:numId="19" w16cid:durableId="1438478580">
    <w:abstractNumId w:val="6"/>
  </w:num>
  <w:num w:numId="20" w16cid:durableId="2078824184">
    <w:abstractNumId w:val="1"/>
  </w:num>
  <w:num w:numId="21" w16cid:durableId="753671174">
    <w:abstractNumId w:val="17"/>
  </w:num>
  <w:num w:numId="22" w16cid:durableId="620110077">
    <w:abstractNumId w:val="16"/>
  </w:num>
  <w:num w:numId="23" w16cid:durableId="1774545963">
    <w:abstractNumId w:val="7"/>
  </w:num>
  <w:num w:numId="24" w16cid:durableId="1940985867">
    <w:abstractNumId w:val="7"/>
  </w:num>
  <w:num w:numId="25" w16cid:durableId="937906017">
    <w:abstractNumId w:val="7"/>
  </w:num>
  <w:num w:numId="26" w16cid:durableId="292832935">
    <w:abstractNumId w:val="7"/>
  </w:num>
  <w:num w:numId="27" w16cid:durableId="941574124">
    <w:abstractNumId w:val="7"/>
  </w:num>
  <w:num w:numId="28" w16cid:durableId="302275633">
    <w:abstractNumId w:val="7"/>
  </w:num>
  <w:num w:numId="29" w16cid:durableId="1082877743">
    <w:abstractNumId w:val="7"/>
  </w:num>
  <w:num w:numId="30" w16cid:durableId="718364178">
    <w:abstractNumId w:val="7"/>
  </w:num>
  <w:num w:numId="31" w16cid:durableId="1132601199">
    <w:abstractNumId w:val="5"/>
  </w:num>
  <w:num w:numId="32" w16cid:durableId="1200041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113"/>
    <w:rsid w:val="00044733"/>
    <w:rsid w:val="000D0899"/>
    <w:rsid w:val="000D5279"/>
    <w:rsid w:val="0010491B"/>
    <w:rsid w:val="001160EF"/>
    <w:rsid w:val="00120E32"/>
    <w:rsid w:val="00121EE3"/>
    <w:rsid w:val="00130775"/>
    <w:rsid w:val="001443F7"/>
    <w:rsid w:val="001A7AE8"/>
    <w:rsid w:val="001B7159"/>
    <w:rsid w:val="001C3346"/>
    <w:rsid w:val="001C3D56"/>
    <w:rsid w:val="001C7EA5"/>
    <w:rsid w:val="001D033D"/>
    <w:rsid w:val="001D313D"/>
    <w:rsid w:val="001F4E8D"/>
    <w:rsid w:val="002073BF"/>
    <w:rsid w:val="00242137"/>
    <w:rsid w:val="00252693"/>
    <w:rsid w:val="00256781"/>
    <w:rsid w:val="002617CD"/>
    <w:rsid w:val="00263C8E"/>
    <w:rsid w:val="0027006E"/>
    <w:rsid w:val="002858B1"/>
    <w:rsid w:val="002B2562"/>
    <w:rsid w:val="002C4D09"/>
    <w:rsid w:val="002F5AD8"/>
    <w:rsid w:val="002F69C1"/>
    <w:rsid w:val="002F7A18"/>
    <w:rsid w:val="003116EB"/>
    <w:rsid w:val="00332AB7"/>
    <w:rsid w:val="003437AB"/>
    <w:rsid w:val="00356625"/>
    <w:rsid w:val="003730C2"/>
    <w:rsid w:val="0037388E"/>
    <w:rsid w:val="003746D0"/>
    <w:rsid w:val="00380BCA"/>
    <w:rsid w:val="003916DB"/>
    <w:rsid w:val="0039612C"/>
    <w:rsid w:val="003D2802"/>
    <w:rsid w:val="003E454B"/>
    <w:rsid w:val="003E45A4"/>
    <w:rsid w:val="003E612B"/>
    <w:rsid w:val="003E6262"/>
    <w:rsid w:val="003F147A"/>
    <w:rsid w:val="00407976"/>
    <w:rsid w:val="004156DF"/>
    <w:rsid w:val="00455F06"/>
    <w:rsid w:val="004634CF"/>
    <w:rsid w:val="00470D2A"/>
    <w:rsid w:val="00480E54"/>
    <w:rsid w:val="00482104"/>
    <w:rsid w:val="004A3DE2"/>
    <w:rsid w:val="004B11BD"/>
    <w:rsid w:val="004B4768"/>
    <w:rsid w:val="004C3889"/>
    <w:rsid w:val="004E4128"/>
    <w:rsid w:val="00511EC2"/>
    <w:rsid w:val="005414D2"/>
    <w:rsid w:val="0054190F"/>
    <w:rsid w:val="00554268"/>
    <w:rsid w:val="005622D7"/>
    <w:rsid w:val="00562C2C"/>
    <w:rsid w:val="00577782"/>
    <w:rsid w:val="00583C96"/>
    <w:rsid w:val="00592403"/>
    <w:rsid w:val="005939FA"/>
    <w:rsid w:val="0059629F"/>
    <w:rsid w:val="005A0A97"/>
    <w:rsid w:val="005A2CB2"/>
    <w:rsid w:val="005A4BDD"/>
    <w:rsid w:val="005B0A74"/>
    <w:rsid w:val="005F0347"/>
    <w:rsid w:val="005F708E"/>
    <w:rsid w:val="00607A30"/>
    <w:rsid w:val="00610E7B"/>
    <w:rsid w:val="00625FAF"/>
    <w:rsid w:val="00626E50"/>
    <w:rsid w:val="00674094"/>
    <w:rsid w:val="00684A3E"/>
    <w:rsid w:val="00696541"/>
    <w:rsid w:val="006A3AFE"/>
    <w:rsid w:val="006C572D"/>
    <w:rsid w:val="006C6BD4"/>
    <w:rsid w:val="006D1419"/>
    <w:rsid w:val="006D5560"/>
    <w:rsid w:val="00700EF5"/>
    <w:rsid w:val="00704F5E"/>
    <w:rsid w:val="0071143C"/>
    <w:rsid w:val="00741113"/>
    <w:rsid w:val="00741EBB"/>
    <w:rsid w:val="007532C3"/>
    <w:rsid w:val="00755863"/>
    <w:rsid w:val="0075638E"/>
    <w:rsid w:val="0077758E"/>
    <w:rsid w:val="00777DCD"/>
    <w:rsid w:val="00782B81"/>
    <w:rsid w:val="007C6E56"/>
    <w:rsid w:val="007F790A"/>
    <w:rsid w:val="00802F3C"/>
    <w:rsid w:val="00827C0E"/>
    <w:rsid w:val="008446A4"/>
    <w:rsid w:val="00856815"/>
    <w:rsid w:val="0086389A"/>
    <w:rsid w:val="008672DD"/>
    <w:rsid w:val="008746EA"/>
    <w:rsid w:val="0089270A"/>
    <w:rsid w:val="008A387A"/>
    <w:rsid w:val="008A3AC0"/>
    <w:rsid w:val="008E2595"/>
    <w:rsid w:val="008E3CA3"/>
    <w:rsid w:val="008F07EF"/>
    <w:rsid w:val="00902532"/>
    <w:rsid w:val="0091721B"/>
    <w:rsid w:val="00917E51"/>
    <w:rsid w:val="00924842"/>
    <w:rsid w:val="00934904"/>
    <w:rsid w:val="00941DF1"/>
    <w:rsid w:val="00960A0C"/>
    <w:rsid w:val="00964219"/>
    <w:rsid w:val="009756D4"/>
    <w:rsid w:val="00976C8A"/>
    <w:rsid w:val="00994D02"/>
    <w:rsid w:val="009B004D"/>
    <w:rsid w:val="009D783A"/>
    <w:rsid w:val="009E01C1"/>
    <w:rsid w:val="009F20F8"/>
    <w:rsid w:val="00A25749"/>
    <w:rsid w:val="00A46C60"/>
    <w:rsid w:val="00A6489F"/>
    <w:rsid w:val="00A670A2"/>
    <w:rsid w:val="00A72F3F"/>
    <w:rsid w:val="00A95542"/>
    <w:rsid w:val="00AB6B47"/>
    <w:rsid w:val="00AC0079"/>
    <w:rsid w:val="00AD6B5A"/>
    <w:rsid w:val="00AE1F14"/>
    <w:rsid w:val="00B176DC"/>
    <w:rsid w:val="00B24CF6"/>
    <w:rsid w:val="00B35500"/>
    <w:rsid w:val="00B36BBB"/>
    <w:rsid w:val="00B70B3D"/>
    <w:rsid w:val="00B71144"/>
    <w:rsid w:val="00B74C62"/>
    <w:rsid w:val="00BA7956"/>
    <w:rsid w:val="00BB5C9A"/>
    <w:rsid w:val="00BC5F78"/>
    <w:rsid w:val="00C03748"/>
    <w:rsid w:val="00C217DC"/>
    <w:rsid w:val="00C54E98"/>
    <w:rsid w:val="00C55667"/>
    <w:rsid w:val="00C65EE0"/>
    <w:rsid w:val="00C729E9"/>
    <w:rsid w:val="00C75468"/>
    <w:rsid w:val="00CC1E4C"/>
    <w:rsid w:val="00CD0AE7"/>
    <w:rsid w:val="00CE3AD1"/>
    <w:rsid w:val="00CE442D"/>
    <w:rsid w:val="00CF18BD"/>
    <w:rsid w:val="00CF24B7"/>
    <w:rsid w:val="00CF26B9"/>
    <w:rsid w:val="00D056DD"/>
    <w:rsid w:val="00D203C2"/>
    <w:rsid w:val="00D22230"/>
    <w:rsid w:val="00D272CC"/>
    <w:rsid w:val="00D460BE"/>
    <w:rsid w:val="00D56D08"/>
    <w:rsid w:val="00D600AB"/>
    <w:rsid w:val="00DA448F"/>
    <w:rsid w:val="00DB4F54"/>
    <w:rsid w:val="00DB7D13"/>
    <w:rsid w:val="00DF70F0"/>
    <w:rsid w:val="00E05DE7"/>
    <w:rsid w:val="00E065A2"/>
    <w:rsid w:val="00E07FE4"/>
    <w:rsid w:val="00E11131"/>
    <w:rsid w:val="00E5001F"/>
    <w:rsid w:val="00E66959"/>
    <w:rsid w:val="00E83C9F"/>
    <w:rsid w:val="00EA4E29"/>
    <w:rsid w:val="00EB5C82"/>
    <w:rsid w:val="00EC64E7"/>
    <w:rsid w:val="00F00420"/>
    <w:rsid w:val="00F06B31"/>
    <w:rsid w:val="00F65EAF"/>
    <w:rsid w:val="00F8260C"/>
    <w:rsid w:val="00F83299"/>
    <w:rsid w:val="00F8754C"/>
    <w:rsid w:val="00FC620D"/>
    <w:rsid w:val="00FE09A2"/>
    <w:rsid w:val="00FE4CA1"/>
    <w:rsid w:val="00FF397E"/>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3DAF31"/>
  <w15:docId w15:val="{253AC180-DDB5-491D-A608-C060740BB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1B7159"/>
    <w:pPr>
      <w:spacing w:after="120" w:line="240" w:lineRule="auto"/>
    </w:pPr>
  </w:style>
  <w:style w:type="paragraph" w:styleId="Heading1">
    <w:name w:val="heading 1"/>
    <w:basedOn w:val="Normal"/>
    <w:next w:val="Normal"/>
    <w:link w:val="Heading1Char"/>
    <w:autoRedefine/>
    <w:uiPriority w:val="9"/>
    <w:qFormat/>
    <w:rsid w:val="004C3889"/>
    <w:pPr>
      <w:keepNext/>
      <w:keepLines/>
      <w:spacing w:before="120" w:after="360"/>
      <w:outlineLvl w:val="0"/>
    </w:pPr>
    <w:rPr>
      <w:rFonts w:eastAsiaTheme="majorEastAsia" w:cstheme="majorBidi"/>
      <w:b/>
      <w:bCs/>
      <w:color w:val="0070F1"/>
      <w:sz w:val="44"/>
      <w:szCs w:val="28"/>
    </w:rPr>
  </w:style>
  <w:style w:type="paragraph" w:styleId="Heading2">
    <w:name w:val="heading 2"/>
    <w:basedOn w:val="Heading1"/>
    <w:next w:val="Normal"/>
    <w:link w:val="Heading2Char"/>
    <w:autoRedefine/>
    <w:uiPriority w:val="9"/>
    <w:unhideWhenUsed/>
    <w:qFormat/>
    <w:rsid w:val="001B7159"/>
    <w:pPr>
      <w:spacing w:after="200"/>
      <w:outlineLvl w:val="1"/>
    </w:pPr>
    <w:rPr>
      <w:bCs w:val="0"/>
      <w:sz w:val="28"/>
      <w:szCs w:val="26"/>
    </w:rPr>
  </w:style>
  <w:style w:type="paragraph" w:styleId="Heading3">
    <w:name w:val="heading 3"/>
    <w:basedOn w:val="Heading2"/>
    <w:next w:val="Normal"/>
    <w:link w:val="Heading3Char"/>
    <w:uiPriority w:val="9"/>
    <w:unhideWhenUsed/>
    <w:qFormat/>
    <w:rsid w:val="00455F06"/>
    <w:pPr>
      <w:spacing w:after="120"/>
      <w:outlineLvl w:val="2"/>
    </w:pPr>
    <w:rPr>
      <w:bCs/>
      <w:sz w:val="24"/>
    </w:rPr>
  </w:style>
  <w:style w:type="paragraph" w:styleId="Heading4">
    <w:name w:val="heading 4"/>
    <w:basedOn w:val="Normal"/>
    <w:next w:val="Normal"/>
    <w:link w:val="Heading4Char"/>
    <w:autoRedefine/>
    <w:uiPriority w:val="9"/>
    <w:unhideWhenUsed/>
    <w:qFormat/>
    <w:rsid w:val="004C3889"/>
    <w:pPr>
      <w:framePr w:hSpace="180" w:wrap="around" w:vAnchor="text" w:hAnchor="text" w:y="1"/>
      <w:spacing w:before="120"/>
      <w:suppressOverlap/>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16DB"/>
    <w:pPr>
      <w:tabs>
        <w:tab w:val="center" w:pos="4513"/>
        <w:tab w:val="right" w:pos="9026"/>
      </w:tabs>
      <w:spacing w:after="0"/>
    </w:pPr>
  </w:style>
  <w:style w:type="character" w:customStyle="1" w:styleId="HeaderChar">
    <w:name w:val="Header Char"/>
    <w:basedOn w:val="DefaultParagraphFont"/>
    <w:link w:val="Header"/>
    <w:uiPriority w:val="99"/>
    <w:rsid w:val="003916DB"/>
  </w:style>
  <w:style w:type="paragraph" w:styleId="Footer">
    <w:name w:val="footer"/>
    <w:basedOn w:val="Normal"/>
    <w:link w:val="FooterChar"/>
    <w:uiPriority w:val="99"/>
    <w:unhideWhenUsed/>
    <w:qFormat/>
    <w:rsid w:val="003916DB"/>
    <w:pPr>
      <w:tabs>
        <w:tab w:val="center" w:pos="4513"/>
        <w:tab w:val="right" w:pos="9026"/>
      </w:tabs>
      <w:spacing w:after="0"/>
    </w:pPr>
  </w:style>
  <w:style w:type="character" w:customStyle="1" w:styleId="FooterChar">
    <w:name w:val="Footer Char"/>
    <w:basedOn w:val="DefaultParagraphFont"/>
    <w:link w:val="Footer"/>
    <w:uiPriority w:val="99"/>
    <w:rsid w:val="003916DB"/>
  </w:style>
  <w:style w:type="paragraph" w:styleId="BalloonText">
    <w:name w:val="Balloon Text"/>
    <w:basedOn w:val="Normal"/>
    <w:link w:val="BalloonTextChar"/>
    <w:uiPriority w:val="99"/>
    <w:semiHidden/>
    <w:unhideWhenUsed/>
    <w:rsid w:val="003916D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16DB"/>
    <w:rPr>
      <w:rFonts w:ascii="Tahoma" w:hAnsi="Tahoma" w:cs="Tahoma"/>
      <w:sz w:val="16"/>
      <w:szCs w:val="16"/>
    </w:rPr>
  </w:style>
  <w:style w:type="character" w:customStyle="1" w:styleId="Heading1Char">
    <w:name w:val="Heading 1 Char"/>
    <w:basedOn w:val="DefaultParagraphFont"/>
    <w:link w:val="Heading1"/>
    <w:uiPriority w:val="9"/>
    <w:rsid w:val="004C3889"/>
    <w:rPr>
      <w:rFonts w:eastAsiaTheme="majorEastAsia" w:cstheme="majorBidi"/>
      <w:b/>
      <w:bCs/>
      <w:color w:val="0070F1"/>
      <w:sz w:val="44"/>
      <w:szCs w:val="28"/>
    </w:rPr>
  </w:style>
  <w:style w:type="character" w:customStyle="1" w:styleId="Heading2Char">
    <w:name w:val="Heading 2 Char"/>
    <w:basedOn w:val="DefaultParagraphFont"/>
    <w:link w:val="Heading2"/>
    <w:uiPriority w:val="9"/>
    <w:rsid w:val="001B7159"/>
    <w:rPr>
      <w:rFonts w:eastAsiaTheme="majorEastAsia" w:cstheme="majorBidi"/>
      <w:b/>
      <w:color w:val="0092C7"/>
      <w:sz w:val="28"/>
      <w:szCs w:val="26"/>
    </w:rPr>
  </w:style>
  <w:style w:type="character" w:customStyle="1" w:styleId="Heading3Char">
    <w:name w:val="Heading 3 Char"/>
    <w:basedOn w:val="DefaultParagraphFont"/>
    <w:link w:val="Heading3"/>
    <w:uiPriority w:val="9"/>
    <w:rsid w:val="00455F06"/>
    <w:rPr>
      <w:rFonts w:eastAsiaTheme="majorEastAsia" w:cstheme="majorBidi"/>
      <w:b/>
      <w:bCs/>
      <w:color w:val="0092C7"/>
      <w:sz w:val="24"/>
      <w:szCs w:val="26"/>
    </w:rPr>
  </w:style>
  <w:style w:type="character" w:customStyle="1" w:styleId="Heading4Char">
    <w:name w:val="Heading 4 Char"/>
    <w:basedOn w:val="DefaultParagraphFont"/>
    <w:link w:val="Heading4"/>
    <w:uiPriority w:val="9"/>
    <w:rsid w:val="004C3889"/>
    <w:rPr>
      <w:rFonts w:eastAsiaTheme="majorEastAsia" w:cstheme="majorBidi"/>
      <w:b/>
      <w:bCs/>
      <w:iCs/>
    </w:rPr>
  </w:style>
  <w:style w:type="paragraph" w:styleId="ListParagraph">
    <w:name w:val="List Paragraph"/>
    <w:basedOn w:val="Normal"/>
    <w:link w:val="ListParagraphChar"/>
    <w:uiPriority w:val="34"/>
    <w:qFormat/>
    <w:rsid w:val="001B7159"/>
    <w:pPr>
      <w:ind w:left="720"/>
      <w:contextualSpacing/>
    </w:pPr>
  </w:style>
  <w:style w:type="paragraph" w:customStyle="1" w:styleId="Bullets">
    <w:name w:val="Bullets"/>
    <w:basedOn w:val="ListParagraph"/>
    <w:link w:val="BulletsChar"/>
    <w:qFormat/>
    <w:rsid w:val="001B7159"/>
    <w:pPr>
      <w:numPr>
        <w:numId w:val="1"/>
      </w:numPr>
    </w:pPr>
  </w:style>
  <w:style w:type="paragraph" w:customStyle="1" w:styleId="Numberedlist">
    <w:name w:val="Numbered list"/>
    <w:basedOn w:val="Bullets"/>
    <w:link w:val="NumberedlistChar"/>
    <w:qFormat/>
    <w:rsid w:val="001B7159"/>
    <w:pPr>
      <w:numPr>
        <w:numId w:val="2"/>
      </w:numPr>
    </w:pPr>
  </w:style>
  <w:style w:type="character" w:customStyle="1" w:styleId="ListParagraphChar">
    <w:name w:val="List Paragraph Char"/>
    <w:basedOn w:val="DefaultParagraphFont"/>
    <w:link w:val="ListParagraph"/>
    <w:uiPriority w:val="34"/>
    <w:rsid w:val="001B7159"/>
  </w:style>
  <w:style w:type="character" w:customStyle="1" w:styleId="BulletsChar">
    <w:name w:val="Bullets Char"/>
    <w:basedOn w:val="ListParagraphChar"/>
    <w:link w:val="Bullets"/>
    <w:rsid w:val="001B7159"/>
  </w:style>
  <w:style w:type="table" w:styleId="TableGrid">
    <w:name w:val="Table Grid"/>
    <w:basedOn w:val="TableNormal"/>
    <w:uiPriority w:val="59"/>
    <w:rsid w:val="001B71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beredlistChar">
    <w:name w:val="Numbered list Char"/>
    <w:basedOn w:val="BulletsChar"/>
    <w:link w:val="Numberedlist"/>
    <w:rsid w:val="001B7159"/>
  </w:style>
  <w:style w:type="paragraph" w:customStyle="1" w:styleId="Tableheading">
    <w:name w:val="Table heading"/>
    <w:basedOn w:val="Normal"/>
    <w:link w:val="TableheadingChar"/>
    <w:qFormat/>
    <w:rsid w:val="00610E7B"/>
    <w:pPr>
      <w:spacing w:before="120"/>
    </w:pPr>
    <w:rPr>
      <w:b/>
      <w:color w:val="0070F1"/>
      <w:sz w:val="24"/>
    </w:rPr>
  </w:style>
  <w:style w:type="paragraph" w:customStyle="1" w:styleId="Tablebody">
    <w:name w:val="Table body"/>
    <w:basedOn w:val="Normal"/>
    <w:link w:val="TablebodyChar"/>
    <w:qFormat/>
    <w:rsid w:val="00AC0079"/>
    <w:pPr>
      <w:spacing w:before="40" w:after="0"/>
    </w:pPr>
  </w:style>
  <w:style w:type="character" w:customStyle="1" w:styleId="TableheadingChar">
    <w:name w:val="Table heading Char"/>
    <w:basedOn w:val="DefaultParagraphFont"/>
    <w:link w:val="Tableheading"/>
    <w:rsid w:val="00610E7B"/>
    <w:rPr>
      <w:b/>
      <w:color w:val="0070F1"/>
      <w:sz w:val="24"/>
    </w:rPr>
  </w:style>
  <w:style w:type="paragraph" w:customStyle="1" w:styleId="Tablesubheading">
    <w:name w:val="Table subheading"/>
    <w:basedOn w:val="Tableheading"/>
    <w:link w:val="TablesubheadingChar"/>
    <w:autoRedefine/>
    <w:qFormat/>
    <w:rsid w:val="008E2595"/>
    <w:pPr>
      <w:spacing w:before="40"/>
    </w:pPr>
    <w:rPr>
      <w:color w:val="auto"/>
      <w:sz w:val="22"/>
    </w:rPr>
  </w:style>
  <w:style w:type="character" w:customStyle="1" w:styleId="TablebodyChar">
    <w:name w:val="Table body Char"/>
    <w:basedOn w:val="DefaultParagraphFont"/>
    <w:link w:val="Tablebody"/>
    <w:rsid w:val="00AC0079"/>
  </w:style>
  <w:style w:type="paragraph" w:customStyle="1" w:styleId="Title1">
    <w:name w:val="Title1"/>
    <w:basedOn w:val="Heading1"/>
    <w:link w:val="TITLEChar"/>
    <w:qFormat/>
    <w:rsid w:val="008E3CA3"/>
    <w:rPr>
      <w:sz w:val="80"/>
      <w:szCs w:val="80"/>
    </w:rPr>
  </w:style>
  <w:style w:type="character" w:customStyle="1" w:styleId="TablesubheadingChar">
    <w:name w:val="Table subheading Char"/>
    <w:basedOn w:val="TableheadingChar"/>
    <w:link w:val="Tablesubheading"/>
    <w:rsid w:val="008E2595"/>
    <w:rPr>
      <w:b/>
      <w:color w:val="0092C7"/>
      <w:sz w:val="24"/>
    </w:rPr>
  </w:style>
  <w:style w:type="paragraph" w:customStyle="1" w:styleId="Subtitle1">
    <w:name w:val="Subtitle1"/>
    <w:basedOn w:val="Normal"/>
    <w:link w:val="SUBTITLEChar"/>
    <w:qFormat/>
    <w:rsid w:val="0037388E"/>
    <w:rPr>
      <w:sz w:val="44"/>
      <w:szCs w:val="44"/>
    </w:rPr>
  </w:style>
  <w:style w:type="character" w:customStyle="1" w:styleId="TITLEChar">
    <w:name w:val="TITLE Char"/>
    <w:basedOn w:val="Heading1Char"/>
    <w:link w:val="Title1"/>
    <w:rsid w:val="008E3CA3"/>
    <w:rPr>
      <w:rFonts w:eastAsiaTheme="majorEastAsia" w:cstheme="majorBidi"/>
      <w:b/>
      <w:bCs/>
      <w:color w:val="0070F1"/>
      <w:sz w:val="80"/>
      <w:szCs w:val="80"/>
    </w:rPr>
  </w:style>
  <w:style w:type="character" w:customStyle="1" w:styleId="SUBTITLEChar">
    <w:name w:val="SUBTITLE Char"/>
    <w:basedOn w:val="DefaultParagraphFont"/>
    <w:link w:val="Subtitle1"/>
    <w:rsid w:val="0037388E"/>
    <w:rPr>
      <w:sz w:val="44"/>
      <w:szCs w:val="44"/>
    </w:rPr>
  </w:style>
  <w:style w:type="character" w:styleId="Hyperlink">
    <w:name w:val="Hyperlink"/>
    <w:basedOn w:val="DefaultParagraphFont"/>
    <w:uiPriority w:val="99"/>
    <w:unhideWhenUsed/>
    <w:rsid w:val="00902532"/>
    <w:rPr>
      <w:color w:val="0070F1" w:themeColor="hyperlink"/>
      <w:u w:val="single"/>
    </w:rPr>
  </w:style>
  <w:style w:type="table" w:customStyle="1" w:styleId="Style1">
    <w:name w:val="Style1"/>
    <w:basedOn w:val="TableNormal"/>
    <w:uiPriority w:val="99"/>
    <w:rsid w:val="005F70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4">
    <w:name w:val="Grid Table 5 Dark Accent 4"/>
    <w:basedOn w:val="TableNormal"/>
    <w:uiPriority w:val="50"/>
    <w:rsid w:val="00CE3AD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F6FE"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2D4FB"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2D4FB"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2D4FB"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2D4FB" w:themeFill="accent4"/>
      </w:tcPr>
    </w:tblStylePr>
    <w:tblStylePr w:type="band1Vert">
      <w:tblPr/>
      <w:tcPr>
        <w:shd w:val="clear" w:color="auto" w:fill="DFEDFD" w:themeFill="accent4" w:themeFillTint="66"/>
      </w:tcPr>
    </w:tblStylePr>
    <w:tblStylePr w:type="band1Horz">
      <w:tblPr/>
      <w:tcPr>
        <w:shd w:val="clear" w:color="auto" w:fill="DFEDFD" w:themeFill="accent4" w:themeFillTint="66"/>
      </w:tcPr>
    </w:tblStylePr>
  </w:style>
  <w:style w:type="table" w:styleId="LightList">
    <w:name w:val="Light List"/>
    <w:basedOn w:val="TableNormal"/>
    <w:uiPriority w:val="61"/>
    <w:rsid w:val="00CE3AD1"/>
    <w:pPr>
      <w:spacing w:after="0" w:line="240" w:lineRule="auto"/>
    </w:pPr>
    <w:rPr>
      <w:rFonts w:eastAsiaTheme="minorEastAsia"/>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Spacing">
    <w:name w:val="No Spacing"/>
    <w:uiPriority w:val="1"/>
    <w:qFormat/>
    <w:rsid w:val="009D783A"/>
    <w:pPr>
      <w:spacing w:after="0" w:line="240" w:lineRule="auto"/>
    </w:pPr>
    <w:rPr>
      <w:rFonts w:ascii="Times New Roman" w:eastAsia="Times New Roman" w:hAnsi="Times New Roman" w:cs="Times New Roman"/>
      <w:sz w:val="24"/>
      <w:szCs w:val="24"/>
    </w:rPr>
  </w:style>
  <w:style w:type="paragraph" w:customStyle="1" w:styleId="paragraph">
    <w:name w:val="paragraph"/>
    <w:basedOn w:val="Normal"/>
    <w:rsid w:val="00D056DD"/>
    <w:pPr>
      <w:spacing w:before="100" w:beforeAutospacing="1" w:after="100" w:afterAutospacing="1"/>
    </w:pPr>
    <w:rPr>
      <w:rFonts w:ascii="Times New Roman" w:eastAsia="Times New Roman" w:hAnsi="Times New Roman" w:cs="Times New Roman"/>
      <w:sz w:val="24"/>
      <w:szCs w:val="24"/>
      <w:lang w:eastAsia="en-AU"/>
    </w:rPr>
  </w:style>
  <w:style w:type="paragraph" w:styleId="CommentText">
    <w:name w:val="annotation text"/>
    <w:basedOn w:val="Normal"/>
    <w:link w:val="CommentTextChar"/>
    <w:uiPriority w:val="99"/>
    <w:unhideWhenUsed/>
    <w:rsid w:val="00D056DD"/>
    <w:pPr>
      <w:spacing w:after="0"/>
    </w:pPr>
    <w:rPr>
      <w:rFonts w:ascii="Arial Narrow" w:eastAsia="Calibri" w:hAnsi="Arial Narrow" w:cs="Times New Roman"/>
      <w:sz w:val="20"/>
      <w:szCs w:val="20"/>
      <w:lang w:val="en-GB"/>
    </w:rPr>
  </w:style>
  <w:style w:type="character" w:customStyle="1" w:styleId="CommentTextChar">
    <w:name w:val="Comment Text Char"/>
    <w:basedOn w:val="DefaultParagraphFont"/>
    <w:link w:val="CommentText"/>
    <w:uiPriority w:val="99"/>
    <w:rsid w:val="00D056DD"/>
    <w:rPr>
      <w:rFonts w:ascii="Arial Narrow" w:eastAsia="Calibri" w:hAnsi="Arial Narrow" w:cs="Times New Roman"/>
      <w:sz w:val="20"/>
      <w:szCs w:val="20"/>
      <w:lang w:val="en-GB"/>
    </w:rPr>
  </w:style>
  <w:style w:type="character" w:styleId="CommentReference">
    <w:name w:val="annotation reference"/>
    <w:basedOn w:val="DefaultParagraphFont"/>
    <w:uiPriority w:val="99"/>
    <w:semiHidden/>
    <w:unhideWhenUsed/>
    <w:rsid w:val="00D056DD"/>
    <w:rPr>
      <w:sz w:val="16"/>
      <w:szCs w:val="16"/>
    </w:rPr>
  </w:style>
  <w:style w:type="paragraph" w:styleId="CommentSubject">
    <w:name w:val="annotation subject"/>
    <w:basedOn w:val="CommentText"/>
    <w:next w:val="CommentText"/>
    <w:link w:val="CommentSubjectChar"/>
    <w:uiPriority w:val="99"/>
    <w:semiHidden/>
    <w:unhideWhenUsed/>
    <w:rsid w:val="00A25749"/>
    <w:pPr>
      <w:spacing w:after="120"/>
    </w:pPr>
    <w:rPr>
      <w:rFonts w:asciiTheme="minorHAnsi" w:eastAsiaTheme="minorHAnsi" w:hAnsiTheme="minorHAnsi" w:cstheme="minorBidi"/>
      <w:b/>
      <w:bCs/>
      <w:lang w:val="en-AU"/>
    </w:rPr>
  </w:style>
  <w:style w:type="character" w:customStyle="1" w:styleId="CommentSubjectChar">
    <w:name w:val="Comment Subject Char"/>
    <w:basedOn w:val="CommentTextChar"/>
    <w:link w:val="CommentSubject"/>
    <w:uiPriority w:val="99"/>
    <w:semiHidden/>
    <w:rsid w:val="00A25749"/>
    <w:rPr>
      <w:rFonts w:ascii="Arial Narrow" w:eastAsia="Calibri" w:hAnsi="Arial Narrow" w:cs="Times New Roman"/>
      <w:b/>
      <w:bCs/>
      <w:sz w:val="20"/>
      <w:szCs w:val="20"/>
      <w:lang w:val="en-GB"/>
    </w:rPr>
  </w:style>
  <w:style w:type="paragraph" w:customStyle="1" w:styleId="Default">
    <w:name w:val="Default"/>
    <w:rsid w:val="005622D7"/>
    <w:pPr>
      <w:autoSpaceDE w:val="0"/>
      <w:autoSpaceDN w:val="0"/>
      <w:adjustRightInd w:val="0"/>
      <w:spacing w:after="0" w:line="240" w:lineRule="auto"/>
    </w:pPr>
    <w:rPr>
      <w:rFonts w:ascii="Calibri" w:hAnsi="Calibri" w:cs="Calibri"/>
      <w:color w:val="000000"/>
      <w:sz w:val="24"/>
      <w:szCs w:val="24"/>
      <w:lang w:bidi="th-TH"/>
    </w:rPr>
  </w:style>
  <w:style w:type="paragraph" w:styleId="Revision">
    <w:name w:val="Revision"/>
    <w:hidden/>
    <w:uiPriority w:val="99"/>
    <w:semiHidden/>
    <w:rsid w:val="003116EB"/>
    <w:pPr>
      <w:spacing w:after="0" w:line="240" w:lineRule="auto"/>
    </w:pPr>
  </w:style>
  <w:style w:type="character" w:styleId="UnresolvedMention">
    <w:name w:val="Unresolved Mention"/>
    <w:basedOn w:val="DefaultParagraphFont"/>
    <w:uiPriority w:val="99"/>
    <w:semiHidden/>
    <w:unhideWhenUsed/>
    <w:rsid w:val="001A7A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935847">
      <w:bodyDiv w:val="1"/>
      <w:marLeft w:val="0"/>
      <w:marRight w:val="0"/>
      <w:marTop w:val="0"/>
      <w:marBottom w:val="0"/>
      <w:divBdr>
        <w:top w:val="none" w:sz="0" w:space="0" w:color="auto"/>
        <w:left w:val="none" w:sz="0" w:space="0" w:color="auto"/>
        <w:bottom w:val="none" w:sz="0" w:space="0" w:color="auto"/>
        <w:right w:val="none" w:sz="0" w:space="0" w:color="auto"/>
      </w:divBdr>
    </w:div>
    <w:div w:id="1228883433">
      <w:bodyDiv w:val="1"/>
      <w:marLeft w:val="0"/>
      <w:marRight w:val="0"/>
      <w:marTop w:val="0"/>
      <w:marBottom w:val="0"/>
      <w:divBdr>
        <w:top w:val="none" w:sz="0" w:space="0" w:color="auto"/>
        <w:left w:val="none" w:sz="0" w:space="0" w:color="auto"/>
        <w:bottom w:val="none" w:sz="0" w:space="0" w:color="auto"/>
        <w:right w:val="none" w:sz="0" w:space="0" w:color="auto"/>
      </w:divBdr>
    </w:div>
    <w:div w:id="1248811382">
      <w:bodyDiv w:val="1"/>
      <w:marLeft w:val="0"/>
      <w:marRight w:val="0"/>
      <w:marTop w:val="0"/>
      <w:marBottom w:val="0"/>
      <w:divBdr>
        <w:top w:val="none" w:sz="0" w:space="0" w:color="auto"/>
        <w:left w:val="none" w:sz="0" w:space="0" w:color="auto"/>
        <w:bottom w:val="none" w:sz="0" w:space="0" w:color="auto"/>
        <w:right w:val="none" w:sz="0" w:space="0" w:color="auto"/>
      </w:divBdr>
    </w:div>
    <w:div w:id="1313636290">
      <w:bodyDiv w:val="1"/>
      <w:marLeft w:val="0"/>
      <w:marRight w:val="0"/>
      <w:marTop w:val="0"/>
      <w:marBottom w:val="0"/>
      <w:divBdr>
        <w:top w:val="none" w:sz="0" w:space="0" w:color="auto"/>
        <w:left w:val="none" w:sz="0" w:space="0" w:color="auto"/>
        <w:bottom w:val="none" w:sz="0" w:space="0" w:color="auto"/>
        <w:right w:val="none" w:sz="0" w:space="0" w:color="auto"/>
      </w:divBdr>
      <w:divsChild>
        <w:div w:id="2119794048">
          <w:marLeft w:val="547"/>
          <w:marRight w:val="0"/>
          <w:marTop w:val="0"/>
          <w:marBottom w:val="0"/>
          <w:divBdr>
            <w:top w:val="none" w:sz="0" w:space="0" w:color="auto"/>
            <w:left w:val="none" w:sz="0" w:space="0" w:color="auto"/>
            <w:bottom w:val="none" w:sz="0" w:space="0" w:color="auto"/>
            <w:right w:val="none" w:sz="0" w:space="0" w:color="auto"/>
          </w:divBdr>
        </w:div>
      </w:divsChild>
    </w:div>
    <w:div w:id="1352412617">
      <w:bodyDiv w:val="1"/>
      <w:marLeft w:val="0"/>
      <w:marRight w:val="0"/>
      <w:marTop w:val="0"/>
      <w:marBottom w:val="0"/>
      <w:divBdr>
        <w:top w:val="none" w:sz="0" w:space="0" w:color="auto"/>
        <w:left w:val="none" w:sz="0" w:space="0" w:color="auto"/>
        <w:bottom w:val="none" w:sz="0" w:space="0" w:color="auto"/>
        <w:right w:val="none" w:sz="0" w:space="0" w:color="auto"/>
      </w:divBdr>
    </w:div>
    <w:div w:id="1427270381">
      <w:bodyDiv w:val="1"/>
      <w:marLeft w:val="0"/>
      <w:marRight w:val="0"/>
      <w:marTop w:val="0"/>
      <w:marBottom w:val="0"/>
      <w:divBdr>
        <w:top w:val="none" w:sz="0" w:space="0" w:color="auto"/>
        <w:left w:val="none" w:sz="0" w:space="0" w:color="auto"/>
        <w:bottom w:val="none" w:sz="0" w:space="0" w:color="auto"/>
        <w:right w:val="none" w:sz="0" w:space="0" w:color="auto"/>
      </w:divBdr>
    </w:div>
    <w:div w:id="1427731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bbconnect.beyondblue.org.au/bbConnectDocs/bbHRDocuments/Hybrid%20Working%20Policy.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russo\Downloads\Beyond%20Blue%20standard%20document%20template.dotx" TargetMode="External"/></Relationships>
</file>

<file path=word/theme/theme1.xml><?xml version="1.0" encoding="utf-8"?>
<a:theme xmlns:a="http://schemas.openxmlformats.org/drawingml/2006/main" name="beyondblue theme">
  <a:themeElements>
    <a:clrScheme name="Beyond Blue colour theme">
      <a:dk1>
        <a:sysClr val="windowText" lastClr="000000"/>
      </a:dk1>
      <a:lt1>
        <a:sysClr val="window" lastClr="FFFFFF"/>
      </a:lt1>
      <a:dk2>
        <a:srgbClr val="000000"/>
      </a:dk2>
      <a:lt2>
        <a:srgbClr val="FFFFFF"/>
      </a:lt2>
      <a:accent1>
        <a:srgbClr val="0070F1"/>
      </a:accent1>
      <a:accent2>
        <a:srgbClr val="ED1A60"/>
      </a:accent2>
      <a:accent3>
        <a:srgbClr val="FFB100"/>
      </a:accent3>
      <a:accent4>
        <a:srgbClr val="B2D4FB"/>
      </a:accent4>
      <a:accent5>
        <a:srgbClr val="E5F1FE"/>
      </a:accent5>
      <a:accent6>
        <a:srgbClr val="23276C"/>
      </a:accent6>
      <a:hlink>
        <a:srgbClr val="0070F1"/>
      </a:hlink>
      <a:folHlink>
        <a:srgbClr val="23276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648D40723C7F647B0047EA234CDE7F4" ma:contentTypeVersion="12" ma:contentTypeDescription="Create a new document." ma:contentTypeScope="" ma:versionID="0a03812f21efc0c7d1e9e7462e6820a9">
  <xsd:schema xmlns:xsd="http://www.w3.org/2001/XMLSchema" xmlns:xs="http://www.w3.org/2001/XMLSchema" xmlns:p="http://schemas.microsoft.com/office/2006/metadata/properties" xmlns:ns2="17b16522-45cd-4ce3-bc60-f11d097248c4" xmlns:ns3="6df2b253-b5eb-483d-ba28-49f93a53811d" targetNamespace="http://schemas.microsoft.com/office/2006/metadata/properties" ma:root="true" ma:fieldsID="b6688db58803ca2dcfd36a69caf749d4" ns2:_="" ns3:_="">
    <xsd:import namespace="17b16522-45cd-4ce3-bc60-f11d097248c4"/>
    <xsd:import namespace="6df2b253-b5eb-483d-ba28-49f93a53811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b16522-45cd-4ce3-bc60-f11d097248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df2b253-b5eb-483d-ba28-49f93a53811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67E5A1-35F4-45C2-BC3A-8D80FFC0716E}">
  <ds:schemaRefs>
    <ds:schemaRef ds:uri="http://schemas.openxmlformats.org/officeDocument/2006/bibliography"/>
  </ds:schemaRefs>
</ds:datastoreItem>
</file>

<file path=customXml/itemProps2.xml><?xml version="1.0" encoding="utf-8"?>
<ds:datastoreItem xmlns:ds="http://schemas.openxmlformats.org/officeDocument/2006/customXml" ds:itemID="{0E95C03B-5ECA-4FE6-AA90-749A1C742E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b16522-45cd-4ce3-bc60-f11d097248c4"/>
    <ds:schemaRef ds:uri="6df2b253-b5eb-483d-ba28-49f93a5381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E1A454-C716-4572-8432-0F41ADC7EC24}">
  <ds:schemaRefs>
    <ds:schemaRef ds:uri="http://schemas.microsoft.com/sharepoint/v3/contenttype/forms"/>
  </ds:schemaRefs>
</ds:datastoreItem>
</file>

<file path=customXml/itemProps4.xml><?xml version="1.0" encoding="utf-8"?>
<ds:datastoreItem xmlns:ds="http://schemas.openxmlformats.org/officeDocument/2006/customXml" ds:itemID="{AC0E9457-FEDB-4A05-8456-E718B0338CC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Beyond Blue standard document template.dotx</Template>
  <TotalTime>0</TotalTime>
  <Pages>7</Pages>
  <Words>1997</Words>
  <Characters>11387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Aimee Bailey</dc:creator>
  <cp:lastModifiedBy>Renee Russo</cp:lastModifiedBy>
  <cp:revision>2</cp:revision>
  <dcterms:created xsi:type="dcterms:W3CDTF">2023-06-21T04:52:00Z</dcterms:created>
  <dcterms:modified xsi:type="dcterms:W3CDTF">2023-06-21T04:52:00Z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bMonth">
    <vt:lpwstr>355;#01 (January)|be27344d-73ee-4702-933c-63201e4a8e1c</vt:lpwstr>
  </property>
  <property fmtid="{D5CDD505-2E9C-101B-9397-08002B2CF9AE}" pid="3" name="Order">
    <vt:r8>400</vt:r8>
  </property>
  <property fmtid="{D5CDD505-2E9C-101B-9397-08002B2CF9AE}" pid="4" name="xd_Signature">
    <vt:bool>false</vt:bool>
  </property>
  <property fmtid="{D5CDD505-2E9C-101B-9397-08002B2CF9AE}" pid="5" name="xd_ProgID">
    <vt:lpwstr/>
  </property>
  <property fmtid="{D5CDD505-2E9C-101B-9397-08002B2CF9AE}" pid="6" name="ContentTypeId">
    <vt:lpwstr>0x010100C648D40723C7F647B0047EA234CDE7F4</vt:lpwstr>
  </property>
  <property fmtid="{D5CDD505-2E9C-101B-9397-08002B2CF9AE}" pid="7" name="bbYear">
    <vt:lpwstr>238;#2014|0a695059-fe51-46c3-b801-cb6827743fab</vt:lpwstr>
  </property>
  <property fmtid="{D5CDD505-2E9C-101B-9397-08002B2CF9AE}" pid="8" name="TemplateUrl">
    <vt:lpwstr/>
  </property>
  <property fmtid="{D5CDD505-2E9C-101B-9397-08002B2CF9AE}" pid="9" name="_dlc_DocIdItemGuid">
    <vt:lpwstr>4c76f2ac-2dae-4ef4-a10d-079bb329c90b</vt:lpwstr>
  </property>
</Properties>
</file>