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A776" w14:textId="7CCC9EDE" w:rsidR="003F0627" w:rsidRDefault="003F0627" w:rsidP="00571036">
      <w:pPr>
        <w:spacing w:before="0"/>
        <w:rPr>
          <w:b/>
          <w:caps/>
          <w:color w:val="A12320"/>
          <w:sz w:val="28"/>
        </w:rPr>
      </w:pPr>
    </w:p>
    <w:p w14:paraId="3678E8AA" w14:textId="544418E3" w:rsidR="007F12D2" w:rsidRPr="00E37B5B" w:rsidRDefault="007F12D2" w:rsidP="007F12D2">
      <w:pPr>
        <w:spacing w:before="0"/>
        <w:jc w:val="center"/>
        <w:rPr>
          <w:b/>
          <w:caps/>
          <w:color w:val="A12320"/>
          <w:sz w:val="28"/>
        </w:rPr>
      </w:pPr>
      <w:r>
        <w:rPr>
          <w:b/>
          <w:caps/>
          <w:color w:val="A12320"/>
          <w:sz w:val="28"/>
        </w:rPr>
        <w:t>policy OFFICER</w:t>
      </w:r>
    </w:p>
    <w:p w14:paraId="57828651" w14:textId="77777777" w:rsidR="007F12D2" w:rsidRDefault="007F12D2" w:rsidP="007F12D2">
      <w:pPr>
        <w:spacing w:before="0"/>
        <w:jc w:val="center"/>
        <w:rPr>
          <w:b/>
          <w:caps/>
          <w:color w:val="A12320"/>
          <w:sz w:val="28"/>
          <w:szCs w:val="28"/>
        </w:rPr>
      </w:pPr>
    </w:p>
    <w:p w14:paraId="4567B2FB" w14:textId="77777777" w:rsidR="007F12D2" w:rsidRPr="00E37B5B" w:rsidRDefault="007F12D2" w:rsidP="007F12D2">
      <w:pPr>
        <w:spacing w:before="0"/>
        <w:jc w:val="center"/>
        <w:rPr>
          <w:b/>
          <w:sz w:val="28"/>
          <w:szCs w:val="28"/>
        </w:rPr>
      </w:pPr>
      <w:r w:rsidRPr="00E37B5B">
        <w:rPr>
          <w:b/>
          <w:caps/>
          <w:color w:val="A12320"/>
          <w:sz w:val="28"/>
          <w:szCs w:val="28"/>
        </w:rPr>
        <w:t>Job Description and Duty Statement</w:t>
      </w:r>
    </w:p>
    <w:p w14:paraId="364A340E" w14:textId="77777777" w:rsidR="007F12D2" w:rsidRPr="00E37B5B" w:rsidRDefault="007F12D2" w:rsidP="007F12D2">
      <w:pPr>
        <w:spacing w:before="0"/>
        <w:jc w:val="center"/>
        <w:rPr>
          <w:b/>
          <w:caps/>
          <w:color w:val="A12320"/>
          <w:sz w:val="20"/>
          <w:szCs w:val="20"/>
        </w:rPr>
      </w:pPr>
    </w:p>
    <w:p w14:paraId="0D785E53" w14:textId="77777777" w:rsidR="007F12D2" w:rsidRDefault="007F12D2" w:rsidP="007F12D2">
      <w:pPr>
        <w:spacing w:before="0" w:after="120"/>
        <w:rPr>
          <w:rFonts w:ascii="Arial" w:hAnsi="Arial" w:cs="Arial"/>
          <w:b/>
          <w:kern w:val="1"/>
          <w:sz w:val="20"/>
          <w:szCs w:val="20"/>
          <w:lang w:val="en-US"/>
        </w:rPr>
      </w:pPr>
    </w:p>
    <w:p w14:paraId="5DC751CB" w14:textId="77777777" w:rsidR="007F12D2" w:rsidRPr="00E37B5B" w:rsidRDefault="007F12D2" w:rsidP="007F12D2">
      <w:pPr>
        <w:spacing w:before="0" w:after="120"/>
        <w:rPr>
          <w:rFonts w:cs="Arial"/>
          <w:kern w:val="1"/>
          <w:sz w:val="20"/>
          <w:szCs w:val="20"/>
          <w:lang w:val="en-US"/>
        </w:rPr>
      </w:pPr>
      <w:r w:rsidRPr="00184FB9">
        <w:rPr>
          <w:rFonts w:ascii="Arial" w:hAnsi="Arial" w:cs="Arial"/>
          <w:b/>
          <w:kern w:val="1"/>
          <w:sz w:val="20"/>
          <w:szCs w:val="20"/>
          <w:lang w:val="en-US"/>
        </w:rPr>
        <w:t>JOB DESCRIPTION</w:t>
      </w:r>
    </w:p>
    <w:p w14:paraId="4299C910" w14:textId="3DA3B214" w:rsidR="007F12D2" w:rsidRPr="00E37B5B" w:rsidRDefault="007F12D2" w:rsidP="007F12D2">
      <w:pPr>
        <w:spacing w:before="0"/>
        <w:rPr>
          <w:rFonts w:cs="Arial"/>
          <w:kern w:val="1"/>
          <w:sz w:val="20"/>
          <w:szCs w:val="20"/>
          <w:lang w:val="en-US"/>
        </w:rPr>
      </w:pPr>
      <w:r w:rsidRPr="00E37B5B">
        <w:rPr>
          <w:rFonts w:cs="Arial"/>
          <w:kern w:val="1"/>
          <w:sz w:val="20"/>
          <w:szCs w:val="20"/>
          <w:lang w:val="en-US"/>
        </w:rPr>
        <w:t>The</w:t>
      </w:r>
      <w:r>
        <w:rPr>
          <w:rFonts w:cs="Arial"/>
          <w:kern w:val="1"/>
          <w:sz w:val="20"/>
          <w:szCs w:val="20"/>
          <w:lang w:val="en-US"/>
        </w:rPr>
        <w:t xml:space="preserve"> Policy Officer assists the Senior Policy Officer and CEO</w:t>
      </w:r>
      <w:r w:rsidR="008F3619">
        <w:rPr>
          <w:rFonts w:cs="Arial"/>
          <w:kern w:val="1"/>
          <w:sz w:val="20"/>
          <w:szCs w:val="20"/>
          <w:lang w:val="en-US"/>
        </w:rPr>
        <w:t xml:space="preserve"> </w:t>
      </w:r>
      <w:r>
        <w:rPr>
          <w:rFonts w:cs="Arial"/>
          <w:kern w:val="1"/>
          <w:sz w:val="20"/>
          <w:szCs w:val="20"/>
          <w:lang w:val="en-US"/>
        </w:rPr>
        <w:t xml:space="preserve">in pulling together the elements required for informed and effective input into </w:t>
      </w:r>
      <w:r w:rsidR="008F3619">
        <w:rPr>
          <w:rFonts w:cs="Arial"/>
          <w:kern w:val="1"/>
          <w:sz w:val="20"/>
          <w:szCs w:val="20"/>
          <w:lang w:val="en-US"/>
        </w:rPr>
        <w:t>digital inclusion</w:t>
      </w:r>
      <w:r>
        <w:rPr>
          <w:rFonts w:cs="Arial"/>
          <w:kern w:val="1"/>
          <w:sz w:val="20"/>
          <w:szCs w:val="20"/>
          <w:lang w:val="en-US"/>
        </w:rPr>
        <w:t xml:space="preserve"> policy</w:t>
      </w:r>
      <w:r w:rsidR="008F3619">
        <w:rPr>
          <w:rFonts w:cs="Arial"/>
          <w:kern w:val="1"/>
          <w:sz w:val="20"/>
          <w:szCs w:val="20"/>
          <w:lang w:val="en-US"/>
        </w:rPr>
        <w:t xml:space="preserve">, telecommunications </w:t>
      </w:r>
      <w:proofErr w:type="gramStart"/>
      <w:r w:rsidR="008F3619">
        <w:rPr>
          <w:rFonts w:cs="Arial"/>
          <w:kern w:val="1"/>
          <w:sz w:val="20"/>
          <w:szCs w:val="20"/>
          <w:lang w:val="en-US"/>
        </w:rPr>
        <w:t>policy</w:t>
      </w:r>
      <w:proofErr w:type="gramEnd"/>
      <w:r>
        <w:rPr>
          <w:rFonts w:cs="Arial"/>
          <w:kern w:val="1"/>
          <w:sz w:val="20"/>
          <w:szCs w:val="20"/>
          <w:lang w:val="en-US"/>
        </w:rPr>
        <w:t xml:space="preserve"> and submissions</w:t>
      </w:r>
      <w:r w:rsidR="008F3619">
        <w:rPr>
          <w:rFonts w:cs="Arial"/>
          <w:kern w:val="1"/>
          <w:sz w:val="20"/>
          <w:szCs w:val="20"/>
          <w:lang w:val="en-US"/>
        </w:rPr>
        <w:t xml:space="preserve"> particularly relevant to remote communities.</w:t>
      </w:r>
      <w:r>
        <w:rPr>
          <w:rFonts w:cs="Arial"/>
          <w:kern w:val="1"/>
          <w:sz w:val="20"/>
          <w:szCs w:val="20"/>
          <w:lang w:val="en-US"/>
        </w:rPr>
        <w:t xml:space="preserve"> </w:t>
      </w:r>
    </w:p>
    <w:p w14:paraId="20C34F5E" w14:textId="77777777" w:rsidR="007F12D2" w:rsidRDefault="007F12D2" w:rsidP="007F12D2">
      <w:pPr>
        <w:spacing w:before="0"/>
        <w:rPr>
          <w:rFonts w:cs="Arial"/>
          <w:kern w:val="1"/>
          <w:sz w:val="20"/>
          <w:szCs w:val="20"/>
          <w:lang w:val="en-US"/>
        </w:rPr>
      </w:pPr>
    </w:p>
    <w:p w14:paraId="7FC899D8" w14:textId="77777777" w:rsidR="007F12D2" w:rsidRDefault="007F12D2" w:rsidP="007F12D2">
      <w:pPr>
        <w:spacing w:before="0" w:after="1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DUTIES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7F12D2" w:rsidRPr="00757D29" w14:paraId="3496D9CE" w14:textId="77777777" w:rsidTr="00770345">
        <w:tc>
          <w:tcPr>
            <w:tcW w:w="6232" w:type="dxa"/>
            <w:shd w:val="clear" w:color="auto" w:fill="D9E2F3" w:themeFill="accent1" w:themeFillTint="33"/>
          </w:tcPr>
          <w:p w14:paraId="4DC2E55C" w14:textId="67E034BD" w:rsidR="007F12D2" w:rsidRPr="00757D29" w:rsidRDefault="007F12D2" w:rsidP="00770345">
            <w:pPr>
              <w:spacing w:before="0" w:after="120"/>
              <w:outlineLvl w:val="0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 xml:space="preserve">1. </w:t>
            </w:r>
            <w:r w:rsidRPr="00757D29">
              <w:rPr>
                <w:rFonts w:cstheme="majorHAnsi"/>
                <w:b/>
                <w:sz w:val="20"/>
                <w:szCs w:val="20"/>
              </w:rPr>
              <w:t xml:space="preserve">Policy </w:t>
            </w:r>
            <w:r>
              <w:rPr>
                <w:rFonts w:cstheme="majorHAnsi"/>
                <w:b/>
                <w:sz w:val="20"/>
                <w:szCs w:val="20"/>
              </w:rPr>
              <w:t>D</w:t>
            </w:r>
            <w:r w:rsidRPr="00757D29">
              <w:rPr>
                <w:rFonts w:cstheme="majorHAnsi"/>
                <w:b/>
                <w:sz w:val="20"/>
                <w:szCs w:val="20"/>
              </w:rPr>
              <w:t>evelopment</w:t>
            </w:r>
            <w:r w:rsidR="00DB75A8">
              <w:rPr>
                <w:rFonts w:cstheme="majorHAnsi"/>
                <w:b/>
                <w:sz w:val="20"/>
                <w:szCs w:val="20"/>
              </w:rPr>
              <w:t xml:space="preserve">, </w:t>
            </w:r>
            <w:proofErr w:type="gramStart"/>
            <w:r w:rsidR="00DB75A8">
              <w:rPr>
                <w:rFonts w:cstheme="majorHAnsi"/>
                <w:b/>
                <w:sz w:val="20"/>
                <w:szCs w:val="20"/>
              </w:rPr>
              <w:t>responses</w:t>
            </w:r>
            <w:proofErr w:type="gramEnd"/>
            <w:r w:rsidR="00DB75A8">
              <w:rPr>
                <w:rFonts w:cstheme="majorHAnsi"/>
                <w:b/>
                <w:sz w:val="20"/>
                <w:szCs w:val="20"/>
              </w:rPr>
              <w:t xml:space="preserve"> and representation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48E5D7DB" w14:textId="77777777" w:rsidR="007F12D2" w:rsidRDefault="007F12D2" w:rsidP="00770345">
            <w:pPr>
              <w:spacing w:before="0"/>
              <w:outlineLvl w:val="0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KPIs</w:t>
            </w:r>
          </w:p>
        </w:tc>
      </w:tr>
      <w:tr w:rsidR="007F12D2" w:rsidRPr="00757D29" w14:paraId="4C65F01C" w14:textId="77777777" w:rsidTr="00770345">
        <w:trPr>
          <w:trHeight w:val="510"/>
        </w:trPr>
        <w:tc>
          <w:tcPr>
            <w:tcW w:w="6232" w:type="dxa"/>
            <w:shd w:val="clear" w:color="auto" w:fill="auto"/>
          </w:tcPr>
          <w:p w14:paraId="1A2E873C" w14:textId="413568B8" w:rsidR="007F12D2" w:rsidRPr="00757D29" w:rsidRDefault="007F12D2" w:rsidP="00770345">
            <w:pPr>
              <w:spacing w:before="0" w:after="12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1.1. </w:t>
            </w:r>
            <w:r w:rsidRPr="00CD2C5C">
              <w:rPr>
                <w:rFonts w:cstheme="majorHAnsi"/>
                <w:kern w:val="1"/>
                <w:sz w:val="20"/>
                <w:szCs w:val="20"/>
                <w:lang w:val="en-US"/>
              </w:rPr>
              <w:t>S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upport new and updated Aboriginal and Torres Strait Islander media and communications policy, </w:t>
            </w:r>
            <w:r w:rsidR="008F3619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particularly relevant to regional telecommunications, digital </w:t>
            </w:r>
            <w:proofErr w:type="gramStart"/>
            <w:r w:rsidR="008F3619">
              <w:rPr>
                <w:rFonts w:cstheme="majorHAnsi"/>
                <w:kern w:val="1"/>
                <w:sz w:val="20"/>
                <w:szCs w:val="20"/>
                <w:lang w:val="en-US"/>
              </w:rPr>
              <w:t>inclusion</w:t>
            </w:r>
            <w:proofErr w:type="gramEnd"/>
            <w:r w:rsidR="008F3619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 and remote media delivery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14:paraId="0606C2A5" w14:textId="77777777" w:rsidR="007F12D2" w:rsidRPr="00757D29" w:rsidRDefault="007F12D2" w:rsidP="00770345">
            <w:pPr>
              <w:spacing w:before="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As required</w:t>
            </w:r>
          </w:p>
        </w:tc>
      </w:tr>
      <w:tr w:rsidR="007F12D2" w:rsidRPr="00B74BD2" w14:paraId="30BBB049" w14:textId="77777777" w:rsidTr="00770345">
        <w:trPr>
          <w:trHeight w:val="495"/>
        </w:trPr>
        <w:tc>
          <w:tcPr>
            <w:tcW w:w="6232" w:type="dxa"/>
          </w:tcPr>
          <w:p w14:paraId="7DB9368A" w14:textId="2108E18B" w:rsidR="007F12D2" w:rsidRPr="00576B6D" w:rsidRDefault="007F12D2" w:rsidP="00770345">
            <w:pPr>
              <w:spacing w:before="0" w:after="120"/>
              <w:jc w:val="left"/>
              <w:outlineLvl w:val="0"/>
              <w:rPr>
                <w:rFonts w:cstheme="majorHAnsi"/>
                <w:color w:val="FF0000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1.2 </w:t>
            </w:r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Working closely with the Member</w:t>
            </w:r>
            <w:r w:rsidR="006A2450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 Service</w:t>
            </w:r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 Officer to f</w:t>
            </w:r>
            <w:r w:rsidRPr="00576B6D">
              <w:rPr>
                <w:color w:val="000000" w:themeColor="text1"/>
                <w:sz w:val="20"/>
                <w:szCs w:val="20"/>
              </w:rPr>
              <w:t>aci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Pr="00576B6D">
              <w:rPr>
                <w:color w:val="000000" w:themeColor="text1"/>
                <w:sz w:val="20"/>
                <w:szCs w:val="20"/>
              </w:rPr>
              <w:t xml:space="preserve">itate </w:t>
            </w:r>
            <w:r w:rsidRPr="00576B6D">
              <w:rPr>
                <w:sz w:val="20"/>
                <w:szCs w:val="20"/>
              </w:rPr>
              <w:t xml:space="preserve">consultation activities with </w:t>
            </w:r>
            <w:r w:rsidR="006A2450">
              <w:rPr>
                <w:sz w:val="20"/>
                <w:szCs w:val="20"/>
              </w:rPr>
              <w:t xml:space="preserve">remote </w:t>
            </w:r>
            <w:r w:rsidRPr="00576B6D">
              <w:rPr>
                <w:sz w:val="20"/>
                <w:szCs w:val="20"/>
              </w:rPr>
              <w:t>members as required and as relevant to the role</w:t>
            </w:r>
          </w:p>
        </w:tc>
        <w:tc>
          <w:tcPr>
            <w:tcW w:w="2552" w:type="dxa"/>
          </w:tcPr>
          <w:p w14:paraId="456E3A34" w14:textId="77777777" w:rsidR="007F12D2" w:rsidRPr="00576B6D" w:rsidRDefault="007F12D2" w:rsidP="00770345">
            <w:pPr>
              <w:spacing w:before="0"/>
              <w:jc w:val="left"/>
              <w:outlineLvl w:val="0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As required</w:t>
            </w:r>
          </w:p>
        </w:tc>
      </w:tr>
      <w:tr w:rsidR="007F12D2" w:rsidRPr="00757D29" w14:paraId="3517F3D1" w14:textId="77777777" w:rsidTr="00770345">
        <w:trPr>
          <w:trHeight w:val="915"/>
        </w:trPr>
        <w:tc>
          <w:tcPr>
            <w:tcW w:w="6232" w:type="dxa"/>
          </w:tcPr>
          <w:p w14:paraId="2B66C0BB" w14:textId="07AF67B9" w:rsidR="007F12D2" w:rsidRDefault="007F12D2" w:rsidP="00770345">
            <w:pPr>
              <w:spacing w:before="0" w:after="12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1.3 </w:t>
            </w:r>
            <w:r w:rsidRPr="00757D29">
              <w:rPr>
                <w:rFonts w:cstheme="majorHAnsi"/>
                <w:kern w:val="1"/>
                <w:sz w:val="20"/>
                <w:szCs w:val="20"/>
                <w:lang w:val="en-US"/>
              </w:rPr>
              <w:t>Support the development of policy papers on key topics (</w:t>
            </w:r>
            <w:proofErr w:type="gramStart"/>
            <w:r w:rsidRPr="00757D29">
              <w:rPr>
                <w:rFonts w:cstheme="majorHAnsi"/>
                <w:kern w:val="1"/>
                <w:sz w:val="20"/>
                <w:szCs w:val="20"/>
                <w:lang w:val="en-US"/>
              </w:rPr>
              <w:t>e.g.</w:t>
            </w:r>
            <w:proofErr w:type="gramEnd"/>
            <w:r w:rsidRPr="00757D29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 </w:t>
            </w:r>
            <w:r w:rsidR="006A2450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digital inclusion, regional telecommunications, </w:t>
            </w:r>
            <w:r w:rsidR="002D70FB">
              <w:rPr>
                <w:rFonts w:cstheme="majorHAnsi"/>
                <w:kern w:val="1"/>
                <w:sz w:val="20"/>
                <w:szCs w:val="20"/>
                <w:lang w:val="en-US"/>
              </w:rPr>
              <w:t>RIBS licensing, remote member priority policy areas</w:t>
            </w:r>
            <w:r w:rsidRPr="00757D29">
              <w:rPr>
                <w:rFonts w:cstheme="majorHAnsi"/>
                <w:kern w:val="1"/>
                <w:sz w:val="20"/>
                <w:szCs w:val="20"/>
                <w:lang w:val="en-US"/>
              </w:rPr>
              <w:t>).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 Link policies to the </w:t>
            </w:r>
            <w:r w:rsidRPr="00757D29">
              <w:rPr>
                <w:rFonts w:cstheme="majorHAnsi"/>
                <w:kern w:val="1"/>
                <w:sz w:val="20"/>
                <w:szCs w:val="20"/>
                <w:lang w:val="en-US"/>
              </w:rPr>
              <w:t>‘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Our M</w:t>
            </w:r>
            <w:r w:rsidRPr="00757D29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edia’ 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value statements</w:t>
            </w:r>
            <w:r w:rsidRPr="00757D29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 </w:t>
            </w:r>
            <w:r w:rsidR="002D70FB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and 9 Calls for Action </w:t>
            </w:r>
            <w:r w:rsidRPr="00757D29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to 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provide consistent messaging</w:t>
            </w:r>
            <w:r w:rsidRPr="00757D29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552" w:type="dxa"/>
          </w:tcPr>
          <w:p w14:paraId="1FFC821A" w14:textId="1DEED5AF" w:rsidR="007F12D2" w:rsidRPr="00757D29" w:rsidRDefault="007F12D2" w:rsidP="00770345">
            <w:pPr>
              <w:spacing w:before="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As required (usually </w:t>
            </w:r>
            <w:r w:rsidR="002D70FB">
              <w:rPr>
                <w:rFonts w:cstheme="majorHAnsi"/>
                <w:kern w:val="1"/>
                <w:sz w:val="20"/>
                <w:szCs w:val="20"/>
                <w:lang w:val="en-US"/>
              </w:rPr>
              <w:t>2-4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 policy documents per year)</w:t>
            </w:r>
          </w:p>
        </w:tc>
      </w:tr>
      <w:tr w:rsidR="007F12D2" w:rsidRPr="00B74BD2" w14:paraId="0CCE433A" w14:textId="77777777" w:rsidTr="00770345">
        <w:trPr>
          <w:trHeight w:val="855"/>
        </w:trPr>
        <w:tc>
          <w:tcPr>
            <w:tcW w:w="6232" w:type="dxa"/>
          </w:tcPr>
          <w:p w14:paraId="72F160A1" w14:textId="77777777" w:rsidR="007F12D2" w:rsidRPr="00CD2C5C" w:rsidRDefault="007F12D2" w:rsidP="00770345">
            <w:pPr>
              <w:spacing w:before="0" w:after="120"/>
              <w:jc w:val="left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 w:rsidRPr="00CD2C5C">
              <w:rPr>
                <w:rFonts w:cstheme="majorHAnsi"/>
                <w:kern w:val="1"/>
                <w:sz w:val="20"/>
                <w:szCs w:val="20"/>
                <w:lang w:val="en-US"/>
              </w:rPr>
              <w:t>1.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4</w:t>
            </w:r>
            <w:r w:rsidRPr="00CD2C5C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 Prepare 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FNMA</w:t>
            </w:r>
            <w:r w:rsidRPr="00CD2C5C"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 responses on relevant government and industry reviews, as directed by the CEO, with membership and stakeholder input where required.</w:t>
            </w:r>
          </w:p>
        </w:tc>
        <w:tc>
          <w:tcPr>
            <w:tcW w:w="2552" w:type="dxa"/>
          </w:tcPr>
          <w:p w14:paraId="3114FA2C" w14:textId="77777777" w:rsidR="007F12D2" w:rsidRPr="00CD2C5C" w:rsidRDefault="007F12D2" w:rsidP="00770345">
            <w:pPr>
              <w:spacing w:before="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 w:rsidRPr="00CD2C5C">
              <w:rPr>
                <w:rFonts w:cstheme="majorHAnsi"/>
                <w:kern w:val="1"/>
                <w:sz w:val="20"/>
                <w:szCs w:val="20"/>
                <w:lang w:val="en-US"/>
              </w:rPr>
              <w:t>As required (usually 5-10 per annum)</w:t>
            </w:r>
          </w:p>
        </w:tc>
      </w:tr>
      <w:tr w:rsidR="007F12D2" w:rsidRPr="000B53E2" w14:paraId="6BB7E519" w14:textId="77777777" w:rsidTr="00770345">
        <w:trPr>
          <w:trHeight w:val="855"/>
        </w:trPr>
        <w:tc>
          <w:tcPr>
            <w:tcW w:w="6232" w:type="dxa"/>
          </w:tcPr>
          <w:p w14:paraId="5FF5C85B" w14:textId="6805F914" w:rsidR="007F12D2" w:rsidRPr="00576B6D" w:rsidRDefault="007F12D2" w:rsidP="00770345">
            <w:pPr>
              <w:spacing w:before="0" w:after="120"/>
              <w:jc w:val="left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1.5 </w:t>
            </w:r>
            <w:r w:rsidRPr="00576B6D">
              <w:rPr>
                <w:color w:val="000000" w:themeColor="text1"/>
                <w:sz w:val="20"/>
                <w:szCs w:val="20"/>
              </w:rPr>
              <w:t xml:space="preserve">Contribute to the development of policy relating to the First Nations media sector, such as the </w:t>
            </w:r>
            <w:r w:rsidR="002D70FB">
              <w:rPr>
                <w:color w:val="000000" w:themeColor="text1"/>
                <w:sz w:val="20"/>
                <w:szCs w:val="20"/>
              </w:rPr>
              <w:t>Indigenous Digital Inclusion Plan, ACCAN forums, the Regional, Rural and Remote Communications Coalition</w:t>
            </w:r>
            <w:r w:rsidRPr="00576B6D">
              <w:rPr>
                <w:color w:val="000000" w:themeColor="text1"/>
                <w:sz w:val="20"/>
                <w:szCs w:val="20"/>
              </w:rPr>
              <w:t xml:space="preserve">, various </w:t>
            </w:r>
            <w:r w:rsidR="002D70FB">
              <w:rPr>
                <w:color w:val="000000" w:themeColor="text1"/>
                <w:sz w:val="20"/>
                <w:szCs w:val="20"/>
              </w:rPr>
              <w:t>telecommunications</w:t>
            </w:r>
            <w:r w:rsidRPr="00576B6D">
              <w:rPr>
                <w:color w:val="000000" w:themeColor="text1"/>
                <w:sz w:val="20"/>
                <w:szCs w:val="20"/>
              </w:rPr>
              <w:t xml:space="preserve"> working groups, Government consultation processes and other areas as directed by the CEO.</w:t>
            </w:r>
          </w:p>
        </w:tc>
        <w:tc>
          <w:tcPr>
            <w:tcW w:w="2552" w:type="dxa"/>
          </w:tcPr>
          <w:p w14:paraId="7314456A" w14:textId="77777777" w:rsidR="007F12D2" w:rsidRPr="00576B6D" w:rsidRDefault="007F12D2" w:rsidP="00770345">
            <w:pPr>
              <w:spacing w:before="0"/>
              <w:jc w:val="left"/>
              <w:outlineLvl w:val="0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As required </w:t>
            </w:r>
          </w:p>
        </w:tc>
      </w:tr>
      <w:tr w:rsidR="00DD60BD" w:rsidRPr="000B53E2" w14:paraId="62EDFE44" w14:textId="77777777" w:rsidTr="00770345">
        <w:trPr>
          <w:trHeight w:val="855"/>
        </w:trPr>
        <w:tc>
          <w:tcPr>
            <w:tcW w:w="6232" w:type="dxa"/>
          </w:tcPr>
          <w:p w14:paraId="1DB65AC6" w14:textId="56959534" w:rsidR="00DD60BD" w:rsidRDefault="00DD60BD" w:rsidP="00770345">
            <w:pPr>
              <w:spacing w:before="0" w:after="120"/>
              <w:jc w:val="left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1.</w:t>
            </w:r>
            <w:r w:rsidR="008D2157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6</w:t>
            </w:r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 Work closely with </w:t>
            </w:r>
            <w:proofErr w:type="spellStart"/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inDigiMOB</w:t>
            </w:r>
            <w:proofErr w:type="spellEnd"/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 project staff </w:t>
            </w:r>
            <w:r w:rsidR="00782368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to connect policy developments with </w:t>
            </w:r>
            <w:r w:rsidR="00D0157B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project activities</w:t>
            </w:r>
            <w:r w:rsidR="00482F23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 wherever possible and maintain a strong working knowledge of digital inclusion needs in remote communities. </w:t>
            </w:r>
          </w:p>
        </w:tc>
        <w:tc>
          <w:tcPr>
            <w:tcW w:w="2552" w:type="dxa"/>
          </w:tcPr>
          <w:p w14:paraId="77C530CC" w14:textId="4F3BB377" w:rsidR="00DD60BD" w:rsidRDefault="00482F23" w:rsidP="00770345">
            <w:pPr>
              <w:spacing w:before="0"/>
              <w:jc w:val="left"/>
              <w:outlineLvl w:val="0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As required. </w:t>
            </w:r>
          </w:p>
        </w:tc>
      </w:tr>
      <w:tr w:rsidR="007F12D2" w:rsidRPr="00757D29" w14:paraId="0B0EF67D" w14:textId="77777777" w:rsidTr="00770345">
        <w:trPr>
          <w:trHeight w:val="174"/>
        </w:trPr>
        <w:tc>
          <w:tcPr>
            <w:tcW w:w="6232" w:type="dxa"/>
            <w:shd w:val="clear" w:color="auto" w:fill="D9E2F3" w:themeFill="accent1" w:themeFillTint="33"/>
          </w:tcPr>
          <w:p w14:paraId="08DCD803" w14:textId="77777777" w:rsidR="007F12D2" w:rsidRPr="00576B6D" w:rsidRDefault="007F12D2" w:rsidP="00770345">
            <w:pPr>
              <w:spacing w:before="0" w:after="120"/>
              <w:jc w:val="left"/>
              <w:rPr>
                <w:rFonts w:cstheme="majorHAnsi"/>
                <w:b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b/>
                <w:kern w:val="1"/>
                <w:sz w:val="20"/>
                <w:szCs w:val="20"/>
                <w:lang w:val="en-US"/>
              </w:rPr>
              <w:t>2. Stakeholder Engagement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1B579C2C" w14:textId="77777777" w:rsidR="007F12D2" w:rsidRPr="00576B6D" w:rsidRDefault="007F12D2" w:rsidP="00770345">
            <w:pPr>
              <w:spacing w:before="0" w:after="12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</w:p>
        </w:tc>
      </w:tr>
      <w:tr w:rsidR="007F12D2" w:rsidRPr="00B74BD2" w14:paraId="122E2E46" w14:textId="77777777" w:rsidTr="00770345">
        <w:trPr>
          <w:trHeight w:val="855"/>
        </w:trPr>
        <w:tc>
          <w:tcPr>
            <w:tcW w:w="6232" w:type="dxa"/>
          </w:tcPr>
          <w:p w14:paraId="5812DD38" w14:textId="64FBB2B3" w:rsidR="007F12D2" w:rsidRPr="00576B6D" w:rsidRDefault="007F12D2" w:rsidP="00770345">
            <w:pPr>
              <w:spacing w:before="0" w:after="120"/>
              <w:jc w:val="left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2.1</w:t>
            </w:r>
            <w:r w:rsidRPr="00576B6D">
              <w:rPr>
                <w:sz w:val="20"/>
                <w:szCs w:val="20"/>
              </w:rPr>
              <w:t xml:space="preserve"> Support positive working relationships with industry stakeholders including other community-controlled organisations, </w:t>
            </w:r>
            <w:r w:rsidR="002D70FB">
              <w:rPr>
                <w:sz w:val="20"/>
                <w:szCs w:val="20"/>
              </w:rPr>
              <w:t>NBN Co, Telstra</w:t>
            </w:r>
            <w:r w:rsidRPr="00576B6D">
              <w:rPr>
                <w:sz w:val="20"/>
                <w:szCs w:val="20"/>
              </w:rPr>
              <w:t xml:space="preserve">, </w:t>
            </w:r>
            <w:r w:rsidR="00B4657F">
              <w:rPr>
                <w:sz w:val="20"/>
                <w:szCs w:val="20"/>
              </w:rPr>
              <w:t xml:space="preserve">NIAA, </w:t>
            </w:r>
            <w:r w:rsidRPr="00576B6D">
              <w:rPr>
                <w:sz w:val="20"/>
                <w:szCs w:val="20"/>
              </w:rPr>
              <w:t xml:space="preserve">elected </w:t>
            </w:r>
            <w:proofErr w:type="gramStart"/>
            <w:r w:rsidRPr="00576B6D">
              <w:rPr>
                <w:sz w:val="20"/>
                <w:szCs w:val="20"/>
              </w:rPr>
              <w:t>representatives</w:t>
            </w:r>
            <w:proofErr w:type="gramEnd"/>
            <w:r w:rsidRPr="00576B6D">
              <w:rPr>
                <w:sz w:val="20"/>
                <w:szCs w:val="20"/>
              </w:rPr>
              <w:t xml:space="preserve"> and Government agencies.</w:t>
            </w:r>
          </w:p>
        </w:tc>
        <w:tc>
          <w:tcPr>
            <w:tcW w:w="2552" w:type="dxa"/>
          </w:tcPr>
          <w:p w14:paraId="66BD95F1" w14:textId="6D1F259B" w:rsidR="007F12D2" w:rsidRPr="00576B6D" w:rsidRDefault="007F12D2" w:rsidP="00770345">
            <w:pPr>
              <w:spacing w:before="0"/>
              <w:jc w:val="left"/>
              <w:outlineLvl w:val="0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As required</w:t>
            </w:r>
            <w:r w:rsidR="00B4657F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, including representation in policy forums.</w:t>
            </w:r>
          </w:p>
        </w:tc>
      </w:tr>
      <w:tr w:rsidR="007F12D2" w:rsidRPr="00B74BD2" w14:paraId="419950C3" w14:textId="77777777" w:rsidTr="00770345">
        <w:trPr>
          <w:trHeight w:val="855"/>
        </w:trPr>
        <w:tc>
          <w:tcPr>
            <w:tcW w:w="6232" w:type="dxa"/>
          </w:tcPr>
          <w:p w14:paraId="10B1E03D" w14:textId="341D599D" w:rsidR="007F12D2" w:rsidRPr="00576B6D" w:rsidRDefault="007F12D2" w:rsidP="00770345">
            <w:pPr>
              <w:spacing w:before="0" w:after="120"/>
              <w:jc w:val="left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2.2</w:t>
            </w:r>
            <w:r w:rsidRPr="00576B6D">
              <w:rPr>
                <w:sz w:val="20"/>
                <w:szCs w:val="20"/>
              </w:rPr>
              <w:t xml:space="preserve"> Seek partnership opportunities that align with the strategic objectives set by the Board and develop proposals as required in consultation with relevant members</w:t>
            </w:r>
            <w:r w:rsidR="00DD60BD">
              <w:rPr>
                <w:sz w:val="20"/>
                <w:szCs w:val="20"/>
              </w:rPr>
              <w:t xml:space="preserve">, particularly focused on the development of remote media organisations. </w:t>
            </w:r>
          </w:p>
        </w:tc>
        <w:tc>
          <w:tcPr>
            <w:tcW w:w="2552" w:type="dxa"/>
          </w:tcPr>
          <w:p w14:paraId="12F44F77" w14:textId="77777777" w:rsidR="007F12D2" w:rsidRPr="00576B6D" w:rsidRDefault="007F12D2" w:rsidP="00770345">
            <w:pPr>
              <w:spacing w:before="0"/>
              <w:jc w:val="left"/>
              <w:outlineLvl w:val="0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As required </w:t>
            </w:r>
          </w:p>
        </w:tc>
      </w:tr>
      <w:tr w:rsidR="007F12D2" w:rsidRPr="00B74BD2" w14:paraId="25C3D71D" w14:textId="77777777" w:rsidTr="00770345">
        <w:trPr>
          <w:trHeight w:val="579"/>
        </w:trPr>
        <w:tc>
          <w:tcPr>
            <w:tcW w:w="6232" w:type="dxa"/>
          </w:tcPr>
          <w:p w14:paraId="31BC1C16" w14:textId="046846BC" w:rsidR="007F12D2" w:rsidRPr="00576B6D" w:rsidRDefault="007F12D2" w:rsidP="00770345">
            <w:pPr>
              <w:spacing w:before="0"/>
              <w:jc w:val="left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lastRenderedPageBreak/>
              <w:t>2.3</w:t>
            </w:r>
            <w:r w:rsidRPr="00576B6D">
              <w:rPr>
                <w:sz w:val="20"/>
                <w:szCs w:val="20"/>
              </w:rPr>
              <w:t xml:space="preserve"> </w:t>
            </w:r>
            <w:r w:rsidR="00482F23">
              <w:rPr>
                <w:sz w:val="20"/>
                <w:szCs w:val="20"/>
              </w:rPr>
              <w:t>Contribute to</w:t>
            </w:r>
            <w:r w:rsidRPr="00576B6D">
              <w:rPr>
                <w:sz w:val="20"/>
                <w:szCs w:val="20"/>
              </w:rPr>
              <w:t xml:space="preserve"> regular communication to promote FNMA’s work in funding and influencing spaces.</w:t>
            </w:r>
          </w:p>
        </w:tc>
        <w:tc>
          <w:tcPr>
            <w:tcW w:w="2552" w:type="dxa"/>
          </w:tcPr>
          <w:p w14:paraId="188E4A44" w14:textId="77777777" w:rsidR="007F12D2" w:rsidRPr="00576B6D" w:rsidRDefault="007F12D2" w:rsidP="00770345">
            <w:pPr>
              <w:spacing w:before="0"/>
              <w:jc w:val="left"/>
              <w:outlineLvl w:val="0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 w:rsidRPr="00576B6D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As required </w:t>
            </w:r>
          </w:p>
        </w:tc>
      </w:tr>
      <w:tr w:rsidR="007F12D2" w:rsidRPr="00757D29" w14:paraId="6F1CD852" w14:textId="77777777" w:rsidTr="00770345">
        <w:trPr>
          <w:trHeight w:val="174"/>
        </w:trPr>
        <w:tc>
          <w:tcPr>
            <w:tcW w:w="6232" w:type="dxa"/>
            <w:shd w:val="clear" w:color="auto" w:fill="D9E2F3" w:themeFill="accent1" w:themeFillTint="33"/>
          </w:tcPr>
          <w:p w14:paraId="65204727" w14:textId="4A32DF84" w:rsidR="007F12D2" w:rsidRDefault="007F12D2" w:rsidP="00770345">
            <w:pPr>
              <w:spacing w:before="0" w:after="120"/>
              <w:jc w:val="left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b/>
                <w:kern w:val="1"/>
                <w:sz w:val="20"/>
                <w:szCs w:val="20"/>
                <w:lang w:val="en-US"/>
              </w:rPr>
              <w:t>3</w:t>
            </w:r>
            <w:r w:rsidRPr="00184FB9">
              <w:rPr>
                <w:rFonts w:cstheme="majorHAnsi"/>
                <w:b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 </w:t>
            </w:r>
            <w:r w:rsidRPr="00757D29">
              <w:rPr>
                <w:rFonts w:cstheme="majorHAnsi"/>
                <w:b/>
                <w:sz w:val="20"/>
                <w:szCs w:val="20"/>
              </w:rPr>
              <w:t>Research</w:t>
            </w:r>
            <w:r w:rsidR="00DB75A8">
              <w:rPr>
                <w:rFonts w:cstheme="majorHAnsi"/>
                <w:b/>
                <w:sz w:val="20"/>
                <w:szCs w:val="20"/>
              </w:rPr>
              <w:t>, data collection and analysis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22569848" w14:textId="77777777" w:rsidR="007F12D2" w:rsidRPr="00757D29" w:rsidRDefault="007F12D2" w:rsidP="00770345">
            <w:pPr>
              <w:spacing w:before="0" w:after="12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</w:p>
        </w:tc>
      </w:tr>
      <w:tr w:rsidR="007F12D2" w:rsidRPr="00757D29" w14:paraId="33314584" w14:textId="77777777" w:rsidTr="00770345">
        <w:tc>
          <w:tcPr>
            <w:tcW w:w="6232" w:type="dxa"/>
          </w:tcPr>
          <w:p w14:paraId="40A3BDA5" w14:textId="096EBF54" w:rsidR="007F12D2" w:rsidRPr="00184FB9" w:rsidRDefault="007F12D2" w:rsidP="00770345">
            <w:pPr>
              <w:spacing w:before="0" w:after="120"/>
              <w:jc w:val="lef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3.1 </w:t>
            </w:r>
            <w:r w:rsidR="00DD60BD">
              <w:rPr>
                <w:rFonts w:cstheme="majorHAnsi"/>
                <w:sz w:val="20"/>
                <w:szCs w:val="20"/>
              </w:rPr>
              <w:t xml:space="preserve">Maintain a watching brief on policy developments and industries that could impact remote media organisations. </w:t>
            </w:r>
          </w:p>
        </w:tc>
        <w:tc>
          <w:tcPr>
            <w:tcW w:w="2552" w:type="dxa"/>
          </w:tcPr>
          <w:p w14:paraId="64AF4685" w14:textId="77777777" w:rsidR="007F12D2" w:rsidRPr="00757D29" w:rsidRDefault="007F12D2" w:rsidP="00770345">
            <w:pPr>
              <w:spacing w:before="0" w:after="12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As required</w:t>
            </w:r>
          </w:p>
        </w:tc>
      </w:tr>
      <w:tr w:rsidR="007F12D2" w:rsidRPr="00757D29" w14:paraId="6F86C3F2" w14:textId="77777777" w:rsidTr="00770345">
        <w:tc>
          <w:tcPr>
            <w:tcW w:w="6232" w:type="dxa"/>
          </w:tcPr>
          <w:p w14:paraId="0444B3B2" w14:textId="77777777" w:rsidR="007F12D2" w:rsidRPr="00757D29" w:rsidRDefault="007F12D2" w:rsidP="00770345">
            <w:pPr>
              <w:spacing w:before="0" w:after="120"/>
              <w:jc w:val="lef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3.2 </w:t>
            </w:r>
            <w:r w:rsidRPr="00757D29">
              <w:rPr>
                <w:rFonts w:cstheme="majorHAnsi"/>
                <w:sz w:val="20"/>
                <w:szCs w:val="20"/>
              </w:rPr>
              <w:t xml:space="preserve">Undertake </w:t>
            </w:r>
            <w:r>
              <w:rPr>
                <w:rFonts w:cstheme="majorHAnsi"/>
                <w:sz w:val="20"/>
                <w:szCs w:val="20"/>
              </w:rPr>
              <w:t xml:space="preserve">background </w:t>
            </w:r>
            <w:r w:rsidRPr="00757D29">
              <w:rPr>
                <w:rFonts w:cstheme="majorHAnsi"/>
                <w:sz w:val="20"/>
                <w:szCs w:val="20"/>
              </w:rPr>
              <w:t xml:space="preserve">research and consultation to support </w:t>
            </w:r>
            <w:r>
              <w:rPr>
                <w:rFonts w:cstheme="majorHAnsi"/>
                <w:sz w:val="20"/>
                <w:szCs w:val="20"/>
              </w:rPr>
              <w:t>FNMA</w:t>
            </w:r>
            <w:r w:rsidRPr="00757D29">
              <w:rPr>
                <w:rFonts w:cstheme="majorHAnsi"/>
                <w:sz w:val="20"/>
                <w:szCs w:val="20"/>
              </w:rPr>
              <w:t xml:space="preserve"> policy responses </w:t>
            </w:r>
            <w:r>
              <w:rPr>
                <w:rFonts w:cstheme="majorHAnsi"/>
                <w:sz w:val="20"/>
                <w:szCs w:val="20"/>
              </w:rPr>
              <w:t>and/</w:t>
            </w:r>
            <w:r w:rsidRPr="00757D29">
              <w:rPr>
                <w:rFonts w:cstheme="majorHAnsi"/>
                <w:sz w:val="20"/>
                <w:szCs w:val="20"/>
              </w:rPr>
              <w:t xml:space="preserve">or discussion papers. </w:t>
            </w:r>
          </w:p>
        </w:tc>
        <w:tc>
          <w:tcPr>
            <w:tcW w:w="2552" w:type="dxa"/>
          </w:tcPr>
          <w:p w14:paraId="5AAE65DD" w14:textId="77777777" w:rsidR="007F12D2" w:rsidRPr="00757D29" w:rsidRDefault="007F12D2" w:rsidP="00770345">
            <w:pPr>
              <w:spacing w:before="0" w:after="12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As required</w:t>
            </w:r>
          </w:p>
        </w:tc>
      </w:tr>
      <w:tr w:rsidR="007F12D2" w:rsidRPr="00757D29" w14:paraId="3A07B1D1" w14:textId="77777777" w:rsidTr="00770345">
        <w:tc>
          <w:tcPr>
            <w:tcW w:w="6232" w:type="dxa"/>
          </w:tcPr>
          <w:p w14:paraId="20181400" w14:textId="77777777" w:rsidR="007F12D2" w:rsidRPr="00757D29" w:rsidRDefault="007F12D2" w:rsidP="00770345">
            <w:pPr>
              <w:spacing w:before="0" w:after="120"/>
              <w:jc w:val="left"/>
              <w:outlineLvl w:val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3.3. Working closely with the Members Officers, supporting member services as required, including an </w:t>
            </w:r>
            <w:r w:rsidRPr="00757D29">
              <w:rPr>
                <w:rFonts w:cstheme="majorHAnsi"/>
                <w:sz w:val="20"/>
                <w:szCs w:val="20"/>
              </w:rPr>
              <w:t xml:space="preserve">annual </w:t>
            </w:r>
            <w:r>
              <w:rPr>
                <w:rFonts w:cstheme="majorHAnsi"/>
                <w:sz w:val="20"/>
                <w:szCs w:val="20"/>
              </w:rPr>
              <w:t xml:space="preserve">member survey to identify capacity, </w:t>
            </w:r>
            <w:proofErr w:type="gramStart"/>
            <w:r>
              <w:rPr>
                <w:rFonts w:cstheme="majorHAnsi"/>
                <w:sz w:val="20"/>
                <w:szCs w:val="20"/>
              </w:rPr>
              <w:t>outcomes</w:t>
            </w:r>
            <w:proofErr w:type="gramEnd"/>
            <w:r>
              <w:rPr>
                <w:rFonts w:cstheme="majorHAnsi"/>
                <w:sz w:val="20"/>
                <w:szCs w:val="20"/>
              </w:rPr>
              <w:t xml:space="preserve"> and needs, </w:t>
            </w:r>
            <w:r w:rsidRPr="00757D29">
              <w:rPr>
                <w:rFonts w:cstheme="majorHAnsi"/>
                <w:sz w:val="20"/>
                <w:szCs w:val="20"/>
              </w:rPr>
              <w:t xml:space="preserve">as guided by the </w:t>
            </w:r>
            <w:r>
              <w:rPr>
                <w:rFonts w:cstheme="majorHAnsi"/>
                <w:sz w:val="20"/>
                <w:szCs w:val="20"/>
              </w:rPr>
              <w:t>CEO and Board</w:t>
            </w:r>
            <w:r w:rsidRPr="00757D29">
              <w:rPr>
                <w:rFonts w:cstheme="majorHAnsi"/>
                <w:sz w:val="20"/>
                <w:szCs w:val="20"/>
              </w:rPr>
              <w:t>.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56C40BDB" w14:textId="77777777" w:rsidR="007F12D2" w:rsidRPr="00757D29" w:rsidRDefault="007F12D2" w:rsidP="00770345">
            <w:pPr>
              <w:spacing w:before="0" w:after="12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Annual survey developed and undertaken</w:t>
            </w:r>
          </w:p>
        </w:tc>
      </w:tr>
      <w:tr w:rsidR="003F0627" w:rsidRPr="000B53E2" w14:paraId="674C890F" w14:textId="77777777" w:rsidTr="00770345">
        <w:trPr>
          <w:trHeight w:val="855"/>
        </w:trPr>
        <w:tc>
          <w:tcPr>
            <w:tcW w:w="6232" w:type="dxa"/>
          </w:tcPr>
          <w:p w14:paraId="2C760DD6" w14:textId="12C53FE3" w:rsidR="003F0627" w:rsidRPr="00576B6D" w:rsidRDefault="003F0627" w:rsidP="00770345">
            <w:pPr>
              <w:spacing w:before="0" w:after="120"/>
              <w:jc w:val="left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3.4 Actively contribute to data development,</w:t>
            </w:r>
            <w:r w:rsidR="00DB75A8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 collection,</w:t>
            </w:r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B75A8"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analysis</w:t>
            </w:r>
            <w:proofErr w:type="gramEnd"/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 xml:space="preserve"> and reporting processes in consultation with relevant members to support evidence-based policy development. </w:t>
            </w:r>
          </w:p>
        </w:tc>
        <w:tc>
          <w:tcPr>
            <w:tcW w:w="2552" w:type="dxa"/>
          </w:tcPr>
          <w:p w14:paraId="47FD9BBD" w14:textId="77777777" w:rsidR="003F0627" w:rsidRPr="00576B6D" w:rsidRDefault="003F0627" w:rsidP="00770345">
            <w:pPr>
              <w:spacing w:before="0"/>
              <w:jc w:val="left"/>
              <w:outlineLvl w:val="0"/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color w:val="000000" w:themeColor="text1"/>
                <w:kern w:val="1"/>
                <w:sz w:val="20"/>
                <w:szCs w:val="20"/>
                <w:lang w:val="en-US"/>
              </w:rPr>
              <w:t>As required. (At least one report output expected per annum)</w:t>
            </w:r>
          </w:p>
        </w:tc>
      </w:tr>
      <w:tr w:rsidR="007F12D2" w:rsidRPr="00EB4CA2" w14:paraId="3FE35653" w14:textId="77777777" w:rsidTr="00770345">
        <w:tc>
          <w:tcPr>
            <w:tcW w:w="6232" w:type="dxa"/>
            <w:shd w:val="clear" w:color="auto" w:fill="D9E2F3" w:themeFill="accent1" w:themeFillTint="33"/>
          </w:tcPr>
          <w:p w14:paraId="2035813E" w14:textId="5B57C964" w:rsidR="007F12D2" w:rsidRPr="00EB4CA2" w:rsidRDefault="00DB75A8" w:rsidP="00770345">
            <w:pPr>
              <w:spacing w:before="0" w:after="120"/>
              <w:jc w:val="left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7F12D2">
              <w:rPr>
                <w:rFonts w:cs="Arial"/>
                <w:b/>
                <w:sz w:val="20"/>
                <w:szCs w:val="20"/>
              </w:rPr>
              <w:t>. Communications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3FABE0FE" w14:textId="77777777" w:rsidR="007F12D2" w:rsidRPr="00EB4CA2" w:rsidRDefault="007F12D2" w:rsidP="0077034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B4CA2">
              <w:rPr>
                <w:rFonts w:ascii="Arial" w:hAnsi="Arial" w:cs="Arial"/>
                <w:b/>
                <w:sz w:val="20"/>
                <w:szCs w:val="20"/>
              </w:rPr>
              <w:t>KPIs</w:t>
            </w:r>
          </w:p>
        </w:tc>
      </w:tr>
      <w:tr w:rsidR="007F12D2" w:rsidRPr="00EB4CA2" w14:paraId="33026738" w14:textId="77777777" w:rsidTr="00770345">
        <w:trPr>
          <w:trHeight w:val="415"/>
        </w:trPr>
        <w:tc>
          <w:tcPr>
            <w:tcW w:w="6232" w:type="dxa"/>
          </w:tcPr>
          <w:p w14:paraId="0F739721" w14:textId="47BD4408" w:rsidR="007F12D2" w:rsidRPr="00EB4CA2" w:rsidRDefault="00DB75A8" w:rsidP="00770345">
            <w:pPr>
              <w:spacing w:before="0"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4</w:t>
            </w:r>
            <w:r w:rsidR="007F12D2" w:rsidRPr="00576B6D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 xml:space="preserve">.1 </w:t>
            </w:r>
            <w:r w:rsidR="007F12D2" w:rsidRPr="00576B6D">
              <w:rPr>
                <w:color w:val="000000" w:themeColor="text1"/>
                <w:sz w:val="20"/>
                <w:szCs w:val="20"/>
              </w:rPr>
              <w:t>Wor</w:t>
            </w:r>
            <w:r w:rsidR="007F12D2">
              <w:rPr>
                <w:color w:val="000000" w:themeColor="text1"/>
                <w:sz w:val="20"/>
                <w:szCs w:val="20"/>
              </w:rPr>
              <w:t>king closely with the Communications Officer, support</w:t>
            </w:r>
            <w:r w:rsidR="007F12D2" w:rsidRPr="00576B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12D2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7F12D2" w:rsidRPr="00576B6D">
              <w:rPr>
                <w:color w:val="000000" w:themeColor="text1"/>
                <w:sz w:val="20"/>
                <w:szCs w:val="20"/>
              </w:rPr>
              <w:t>streamlin</w:t>
            </w:r>
            <w:r w:rsidR="007F12D2">
              <w:rPr>
                <w:color w:val="000000" w:themeColor="text1"/>
                <w:sz w:val="20"/>
                <w:szCs w:val="20"/>
              </w:rPr>
              <w:t>ing</w:t>
            </w:r>
            <w:r w:rsidR="007F12D2" w:rsidRPr="00576B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12D2">
              <w:rPr>
                <w:color w:val="000000" w:themeColor="text1"/>
                <w:sz w:val="20"/>
                <w:szCs w:val="20"/>
              </w:rPr>
              <w:t>of</w:t>
            </w:r>
            <w:r w:rsidR="007F12D2" w:rsidRPr="00576B6D">
              <w:rPr>
                <w:color w:val="000000" w:themeColor="text1"/>
                <w:sz w:val="20"/>
                <w:szCs w:val="20"/>
              </w:rPr>
              <w:t xml:space="preserve"> communications </w:t>
            </w:r>
            <w:r w:rsidR="007F12D2">
              <w:rPr>
                <w:color w:val="000000" w:themeColor="text1"/>
                <w:sz w:val="20"/>
                <w:szCs w:val="20"/>
              </w:rPr>
              <w:t xml:space="preserve">across the business </w:t>
            </w:r>
            <w:r w:rsidR="007F12D2" w:rsidRPr="00576B6D">
              <w:rPr>
                <w:color w:val="000000" w:themeColor="text1"/>
                <w:sz w:val="20"/>
                <w:szCs w:val="20"/>
              </w:rPr>
              <w:t>to effectively advise on emerging issues, historic sensitivities and identify key priorities for the Communications Strategy.</w:t>
            </w:r>
          </w:p>
        </w:tc>
        <w:tc>
          <w:tcPr>
            <w:tcW w:w="2552" w:type="dxa"/>
          </w:tcPr>
          <w:p w14:paraId="607992D2" w14:textId="77777777" w:rsidR="007F12D2" w:rsidRPr="002C51C0" w:rsidRDefault="007F12D2" w:rsidP="00770345">
            <w:pPr>
              <w:spacing w:before="0" w:after="120"/>
              <w:outlineLvl w:val="0"/>
              <w:rPr>
                <w:rFonts w:cs="Arial"/>
                <w:sz w:val="20"/>
                <w:szCs w:val="20"/>
                <w:lang w:eastAsia="en-AU"/>
              </w:rPr>
            </w:pPr>
            <w:r w:rsidRPr="002C51C0">
              <w:rPr>
                <w:rFonts w:cs="Arial"/>
                <w:sz w:val="20"/>
                <w:szCs w:val="20"/>
                <w:lang w:eastAsia="en-AU"/>
              </w:rPr>
              <w:t>Annually</w:t>
            </w:r>
          </w:p>
        </w:tc>
      </w:tr>
      <w:tr w:rsidR="007F12D2" w:rsidRPr="00EB4CA2" w14:paraId="10842E55" w14:textId="77777777" w:rsidTr="00770345">
        <w:trPr>
          <w:trHeight w:val="780"/>
        </w:trPr>
        <w:tc>
          <w:tcPr>
            <w:tcW w:w="6232" w:type="dxa"/>
          </w:tcPr>
          <w:p w14:paraId="7E3E9C84" w14:textId="7F893F67" w:rsidR="007F12D2" w:rsidRPr="00EB4CA2" w:rsidRDefault="00DB75A8" w:rsidP="00DB75A8">
            <w:pPr>
              <w:spacing w:before="0" w:after="120"/>
              <w:jc w:val="left"/>
              <w:outlineLvl w:val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7F12D2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7F12D2">
              <w:rPr>
                <w:rFonts w:cs="Arial"/>
                <w:sz w:val="20"/>
                <w:szCs w:val="20"/>
              </w:rPr>
              <w:t xml:space="preserve"> Work with Communications Officer to s</w:t>
            </w:r>
            <w:r w:rsidR="007F12D2" w:rsidRPr="00EB4CA2">
              <w:rPr>
                <w:rFonts w:cs="Arial"/>
                <w:sz w:val="20"/>
                <w:szCs w:val="20"/>
              </w:rPr>
              <w:t>upport CEO to advocate on sector policies, outcomes and issues through conferences, submissions, reviews, presentations to government/stakeholders.</w:t>
            </w:r>
          </w:p>
        </w:tc>
        <w:tc>
          <w:tcPr>
            <w:tcW w:w="2552" w:type="dxa"/>
          </w:tcPr>
          <w:p w14:paraId="4307779A" w14:textId="782E3D9C" w:rsidR="007F12D2" w:rsidRPr="00EB4CA2" w:rsidRDefault="00DB75A8" w:rsidP="00DB75A8">
            <w:pPr>
              <w:spacing w:before="0" w:after="120"/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>Where relevant to remote communications</w:t>
            </w:r>
          </w:p>
        </w:tc>
      </w:tr>
      <w:tr w:rsidR="00DB75A8" w:rsidRPr="00EB4CA2" w14:paraId="67A28AA4" w14:textId="77777777" w:rsidTr="00770345">
        <w:trPr>
          <w:trHeight w:val="780"/>
        </w:trPr>
        <w:tc>
          <w:tcPr>
            <w:tcW w:w="6232" w:type="dxa"/>
          </w:tcPr>
          <w:p w14:paraId="67EDCDF2" w14:textId="2598974C" w:rsidR="00DB75A8" w:rsidRDefault="00DB75A8" w:rsidP="00DB75A8">
            <w:pPr>
              <w:spacing w:before="0"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 Provide activity reports to the CEO and Board</w:t>
            </w:r>
            <w:r w:rsidR="00D9790E">
              <w:rPr>
                <w:rFonts w:cs="Arial"/>
                <w:sz w:val="20"/>
                <w:szCs w:val="20"/>
              </w:rPr>
              <w:t xml:space="preserve"> for each meeting, contribute to newsletters, annual </w:t>
            </w:r>
            <w:proofErr w:type="gramStart"/>
            <w:r w:rsidR="00D9790E">
              <w:rPr>
                <w:rFonts w:cs="Arial"/>
                <w:sz w:val="20"/>
                <w:szCs w:val="20"/>
              </w:rPr>
              <w:t>report</w:t>
            </w:r>
            <w:proofErr w:type="gramEnd"/>
            <w:r w:rsidR="00D9790E">
              <w:rPr>
                <w:rFonts w:cs="Arial"/>
                <w:sz w:val="20"/>
                <w:szCs w:val="20"/>
              </w:rPr>
              <w:t xml:space="preserve"> and stakeholder email communication, provide verbal reports to membership meetings and stakeholder groups.</w:t>
            </w:r>
          </w:p>
        </w:tc>
        <w:tc>
          <w:tcPr>
            <w:tcW w:w="2552" w:type="dxa"/>
          </w:tcPr>
          <w:p w14:paraId="2902B33A" w14:textId="336A6B8B" w:rsidR="00DB75A8" w:rsidRDefault="00D9790E" w:rsidP="00DB75A8">
            <w:pPr>
              <w:spacing w:before="0" w:after="120"/>
              <w:jc w:val="left"/>
              <w:outlineLvl w:val="0"/>
              <w:rPr>
                <w:rFonts w:cstheme="maj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ajorHAnsi"/>
                <w:kern w:val="1"/>
                <w:sz w:val="20"/>
                <w:szCs w:val="20"/>
                <w:lang w:val="en-US"/>
              </w:rPr>
              <w:t xml:space="preserve">As required. </w:t>
            </w:r>
          </w:p>
        </w:tc>
      </w:tr>
      <w:tr w:rsidR="007F12D2" w:rsidRPr="00EB4CA2" w14:paraId="1A4ADF4F" w14:textId="77777777" w:rsidTr="00770345">
        <w:trPr>
          <w:trHeight w:val="488"/>
        </w:trPr>
        <w:tc>
          <w:tcPr>
            <w:tcW w:w="6232" w:type="dxa"/>
            <w:shd w:val="clear" w:color="auto" w:fill="D9E2F3" w:themeFill="accent1" w:themeFillTint="33"/>
          </w:tcPr>
          <w:p w14:paraId="08C0BB1B" w14:textId="63E97C74" w:rsidR="007F12D2" w:rsidRPr="00EB4CA2" w:rsidRDefault="00D9790E" w:rsidP="00770345">
            <w:pPr>
              <w:widowControl w:val="0"/>
              <w:autoSpaceDE w:val="0"/>
              <w:autoSpaceDN w:val="0"/>
              <w:adjustRightInd w:val="0"/>
              <w:spacing w:before="0" w:after="120"/>
              <w:jc w:val="left"/>
              <w:rPr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7F12D2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7F12D2" w:rsidRPr="00EB4CA2">
              <w:rPr>
                <w:rFonts w:cs="Arial"/>
                <w:b/>
                <w:sz w:val="20"/>
                <w:szCs w:val="20"/>
              </w:rPr>
              <w:t>Professional Development &amp; Support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4D6AA29" w14:textId="77777777" w:rsidR="007F12D2" w:rsidRPr="00EB4CA2" w:rsidRDefault="007F12D2" w:rsidP="00770345">
            <w:pPr>
              <w:spacing w:before="0" w:after="120"/>
              <w:outlineLvl w:val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7F12D2" w:rsidRPr="00EB4CA2" w14:paraId="1476D9A0" w14:textId="77777777" w:rsidTr="00770345">
        <w:tc>
          <w:tcPr>
            <w:tcW w:w="6232" w:type="dxa"/>
          </w:tcPr>
          <w:p w14:paraId="50BE8ABB" w14:textId="184817F5" w:rsidR="007F12D2" w:rsidRPr="00EB4CA2" w:rsidRDefault="00D9790E" w:rsidP="00770345">
            <w:pPr>
              <w:spacing w:before="0"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AU"/>
              </w:rPr>
              <w:t>5</w:t>
            </w:r>
            <w:r w:rsidR="007F12D2">
              <w:rPr>
                <w:sz w:val="20"/>
                <w:szCs w:val="20"/>
                <w:lang w:eastAsia="en-AU"/>
              </w:rPr>
              <w:t>.</w:t>
            </w:r>
            <w:r>
              <w:rPr>
                <w:sz w:val="20"/>
                <w:szCs w:val="20"/>
                <w:lang w:eastAsia="en-AU"/>
              </w:rPr>
              <w:t>1</w:t>
            </w:r>
            <w:r w:rsidR="007F12D2">
              <w:rPr>
                <w:sz w:val="20"/>
                <w:szCs w:val="20"/>
                <w:lang w:eastAsia="en-AU"/>
              </w:rPr>
              <w:t xml:space="preserve"> Develop and maintain </w:t>
            </w:r>
            <w:r w:rsidR="004E21BB">
              <w:rPr>
                <w:sz w:val="20"/>
                <w:szCs w:val="20"/>
                <w:lang w:eastAsia="en-AU"/>
              </w:rPr>
              <w:t>workflows that integrate with Senior Policy Officer and project management staff</w:t>
            </w:r>
            <w:r w:rsidR="007F12D2">
              <w:rPr>
                <w:sz w:val="20"/>
                <w:szCs w:val="20"/>
                <w:lang w:eastAsia="en-AU"/>
              </w:rPr>
              <w:t xml:space="preserve"> </w:t>
            </w:r>
            <w:r w:rsidR="004E21BB">
              <w:rPr>
                <w:sz w:val="20"/>
                <w:szCs w:val="20"/>
                <w:lang w:eastAsia="en-AU"/>
              </w:rPr>
              <w:t>for transparency and identification of support mechanisms.</w:t>
            </w:r>
          </w:p>
        </w:tc>
        <w:tc>
          <w:tcPr>
            <w:tcW w:w="2552" w:type="dxa"/>
          </w:tcPr>
          <w:p w14:paraId="38DD14E1" w14:textId="44BF442D" w:rsidR="007F12D2" w:rsidRPr="004E21BB" w:rsidRDefault="004E21BB" w:rsidP="00770345">
            <w:pPr>
              <w:spacing w:before="0" w:after="120"/>
              <w:outlineLvl w:val="0"/>
              <w:rPr>
                <w:rFonts w:cs="Arial"/>
                <w:sz w:val="20"/>
                <w:szCs w:val="20"/>
                <w:lang w:eastAsia="en-AU"/>
              </w:rPr>
            </w:pPr>
            <w:r w:rsidRPr="004E21BB">
              <w:rPr>
                <w:rFonts w:cs="Arial"/>
                <w:sz w:val="20"/>
                <w:szCs w:val="20"/>
                <w:lang w:eastAsia="en-AU"/>
              </w:rPr>
              <w:t>Ongoing</w:t>
            </w:r>
          </w:p>
        </w:tc>
      </w:tr>
      <w:tr w:rsidR="004E21BB" w:rsidRPr="00EB4CA2" w14:paraId="5CAD8C84" w14:textId="77777777" w:rsidTr="00770345">
        <w:tc>
          <w:tcPr>
            <w:tcW w:w="6232" w:type="dxa"/>
          </w:tcPr>
          <w:p w14:paraId="3D631500" w14:textId="54569D9D" w:rsidR="004E21BB" w:rsidRDefault="004E21BB" w:rsidP="00770345">
            <w:pPr>
              <w:spacing w:before="0" w:after="120"/>
              <w:jc w:val="left"/>
              <w:outlineLvl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5.2 Identify professional development opportunities relevant to your role and report to Senior Policy Officer and CEO</w:t>
            </w:r>
          </w:p>
        </w:tc>
        <w:tc>
          <w:tcPr>
            <w:tcW w:w="2552" w:type="dxa"/>
          </w:tcPr>
          <w:p w14:paraId="1D2983AF" w14:textId="1AE7973A" w:rsidR="004E21BB" w:rsidRPr="004E21BB" w:rsidRDefault="004E21BB" w:rsidP="00770345">
            <w:pPr>
              <w:spacing w:before="0" w:after="120"/>
              <w:outlineLvl w:val="0"/>
              <w:rPr>
                <w:rFonts w:cs="Arial"/>
                <w:sz w:val="20"/>
                <w:szCs w:val="20"/>
                <w:lang w:eastAsia="en-AU"/>
              </w:rPr>
            </w:pPr>
            <w:r w:rsidRPr="004E21BB">
              <w:rPr>
                <w:rFonts w:cs="Arial"/>
                <w:sz w:val="20"/>
                <w:szCs w:val="20"/>
                <w:lang w:eastAsia="en-AU"/>
              </w:rPr>
              <w:t>Annually</w:t>
            </w:r>
          </w:p>
        </w:tc>
      </w:tr>
    </w:tbl>
    <w:p w14:paraId="27EC80AE" w14:textId="77777777" w:rsidR="007F12D2" w:rsidRDefault="007F12D2"/>
    <w:sectPr w:rsidR="007F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D2"/>
    <w:rsid w:val="002D70FB"/>
    <w:rsid w:val="00305805"/>
    <w:rsid w:val="003F0627"/>
    <w:rsid w:val="00482F23"/>
    <w:rsid w:val="004E21BB"/>
    <w:rsid w:val="00571036"/>
    <w:rsid w:val="006A2450"/>
    <w:rsid w:val="00782368"/>
    <w:rsid w:val="007F12D2"/>
    <w:rsid w:val="008D2157"/>
    <w:rsid w:val="008F3619"/>
    <w:rsid w:val="00A532D0"/>
    <w:rsid w:val="00B4657F"/>
    <w:rsid w:val="00BC2A9D"/>
    <w:rsid w:val="00D0157B"/>
    <w:rsid w:val="00D813CD"/>
    <w:rsid w:val="00D9790E"/>
    <w:rsid w:val="00DB75A8"/>
    <w:rsid w:val="00DD60BD"/>
    <w:rsid w:val="00F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8E94B"/>
  <w15:chartTrackingRefBased/>
  <w15:docId w15:val="{810039F8-9638-CD43-9DD7-8F0A93B8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D2"/>
    <w:pPr>
      <w:spacing w:before="120"/>
      <w:jc w:val="both"/>
    </w:pPr>
    <w:rPr>
      <w:rFonts w:ascii="Century Gothic" w:eastAsia="Times New Roman" w:hAnsi="Century Gothic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D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F12D2"/>
    <w:pPr>
      <w:spacing w:before="0" w:after="200"/>
      <w:jc w:val="left"/>
    </w:pPr>
    <w:rPr>
      <w:rFonts w:ascii="Calibri" w:eastAsia="Calibri" w:hAnsi="Calibri" w:cs="Calibri"/>
      <w:color w:val="000000"/>
      <w:sz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2D2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Stuchbery</dc:creator>
  <cp:keywords/>
  <dc:description/>
  <cp:lastModifiedBy>Claire Stuchbery</cp:lastModifiedBy>
  <cp:revision>2</cp:revision>
  <dcterms:created xsi:type="dcterms:W3CDTF">2022-05-02T05:58:00Z</dcterms:created>
  <dcterms:modified xsi:type="dcterms:W3CDTF">2022-05-02T05:58:00Z</dcterms:modified>
</cp:coreProperties>
</file>