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DAC" w:rsidRDefault="00433DAC" w:rsidP="00433DAC"/>
    <w:tbl>
      <w:tblPr>
        <w:tblW w:w="8505" w:type="dxa"/>
        <w:tblBorders>
          <w:insideH w:val="single" w:sz="4" w:space="0" w:color="FFFFFF"/>
        </w:tblBorders>
        <w:shd w:val="clear" w:color="auto" w:fill="DAEEF3" w:themeFill="accent5" w:themeFillTint="33"/>
        <w:tblLook w:val="04A0" w:firstRow="1" w:lastRow="0" w:firstColumn="1" w:lastColumn="0" w:noHBand="0" w:noVBand="1"/>
      </w:tblPr>
      <w:tblGrid>
        <w:gridCol w:w="3606"/>
        <w:gridCol w:w="4899"/>
      </w:tblGrid>
      <w:tr w:rsidR="00433DAC" w:rsidRPr="005D7F7D" w:rsidTr="00410FB7">
        <w:tc>
          <w:tcPr>
            <w:tcW w:w="3606" w:type="dxa"/>
            <w:shd w:val="clear" w:color="auto" w:fill="B8CCE4" w:themeFill="accent1" w:themeFillTint="66"/>
          </w:tcPr>
          <w:p w:rsidR="00433DAC" w:rsidRPr="00406C76" w:rsidRDefault="00433DAC" w:rsidP="002E1D85">
            <w:pPr>
              <w:rPr>
                <w:b/>
                <w:bCs/>
                <w:color w:val="FFFFFF"/>
              </w:rPr>
            </w:pPr>
            <w:r>
              <w:rPr>
                <w:b/>
                <w:bCs/>
                <w:noProof/>
                <w:color w:val="FFFFFF"/>
                <w:lang w:eastAsia="en-AU"/>
              </w:rPr>
              <w:drawing>
                <wp:inline distT="0" distB="0" distL="0" distR="0" wp14:anchorId="58688830" wp14:editId="3D3D7B38">
                  <wp:extent cx="2152391" cy="71755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l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391" cy="717550"/>
                          </a:xfrm>
                          <a:prstGeom prst="rect">
                            <a:avLst/>
                          </a:prstGeom>
                        </pic:spPr>
                      </pic:pic>
                    </a:graphicData>
                  </a:graphic>
                </wp:inline>
              </w:drawing>
            </w:r>
          </w:p>
        </w:tc>
        <w:tc>
          <w:tcPr>
            <w:tcW w:w="4899" w:type="dxa"/>
            <w:shd w:val="clear" w:color="auto" w:fill="B8CCE4" w:themeFill="accent1" w:themeFillTint="66"/>
          </w:tcPr>
          <w:p w:rsidR="00433DAC" w:rsidRPr="00433DAC" w:rsidRDefault="00433DAC" w:rsidP="00433DAC">
            <w:pPr>
              <w:jc w:val="center"/>
              <w:rPr>
                <w:b/>
                <w:bCs/>
                <w:smallCaps/>
                <w:color w:val="31849B" w:themeColor="accent5" w:themeShade="BF"/>
                <w:sz w:val="48"/>
                <w:szCs w:val="48"/>
              </w:rPr>
            </w:pPr>
            <w:r w:rsidRPr="00433DAC">
              <w:rPr>
                <w:b/>
                <w:bCs/>
                <w:smallCaps/>
                <w:color w:val="31849B" w:themeColor="accent5" w:themeShade="BF"/>
                <w:sz w:val="56"/>
                <w:szCs w:val="56"/>
              </w:rPr>
              <w:t>Position</w:t>
            </w:r>
            <w:r w:rsidRPr="00433DAC">
              <w:rPr>
                <w:b/>
                <w:bCs/>
                <w:smallCaps/>
                <w:color w:val="31849B" w:themeColor="accent5" w:themeShade="BF"/>
                <w:sz w:val="44"/>
                <w:szCs w:val="44"/>
              </w:rPr>
              <w:t xml:space="preserve"> </w:t>
            </w:r>
            <w:r w:rsidRPr="00433DAC">
              <w:rPr>
                <w:b/>
                <w:bCs/>
                <w:smallCaps/>
                <w:color w:val="31849B" w:themeColor="accent5" w:themeShade="BF"/>
                <w:sz w:val="56"/>
                <w:szCs w:val="56"/>
              </w:rPr>
              <w:t>Description</w:t>
            </w:r>
          </w:p>
          <w:p w:rsidR="00433DAC" w:rsidRDefault="009A0FFD" w:rsidP="002E1D85">
            <w:pPr>
              <w:jc w:val="center"/>
              <w:rPr>
                <w:b/>
                <w:bCs/>
                <w:i/>
                <w:color w:val="000000"/>
                <w:sz w:val="28"/>
                <w:szCs w:val="28"/>
              </w:rPr>
            </w:pPr>
            <w:r>
              <w:rPr>
                <w:b/>
                <w:bCs/>
                <w:i/>
                <w:color w:val="000000"/>
                <w:sz w:val="28"/>
                <w:szCs w:val="28"/>
              </w:rPr>
              <w:t>Community Lawyer</w:t>
            </w:r>
            <w:r w:rsidR="009004C5">
              <w:rPr>
                <w:b/>
                <w:bCs/>
                <w:i/>
                <w:color w:val="000000"/>
                <w:sz w:val="28"/>
                <w:szCs w:val="28"/>
              </w:rPr>
              <w:t xml:space="preserve">, Family Violence </w:t>
            </w:r>
          </w:p>
          <w:p w:rsidR="00433DAC" w:rsidRPr="002B0AD3" w:rsidRDefault="00433DAC" w:rsidP="002E1D85">
            <w:pPr>
              <w:jc w:val="center"/>
              <w:rPr>
                <w:b/>
                <w:bCs/>
                <w:i/>
                <w:color w:val="000000"/>
                <w:sz w:val="28"/>
                <w:szCs w:val="28"/>
              </w:rPr>
            </w:pPr>
          </w:p>
        </w:tc>
      </w:tr>
    </w:tbl>
    <w:p w:rsidR="00433DAC" w:rsidRDefault="00433DAC" w:rsidP="00433DAC"/>
    <w:p w:rsidR="00433DAC" w:rsidRPr="002C7DFC" w:rsidRDefault="00433DAC" w:rsidP="00433DAC">
      <w:pPr>
        <w:tabs>
          <w:tab w:val="left" w:pos="2700"/>
        </w:tabs>
        <w:rPr>
          <w:lang w:val="en-US"/>
        </w:rPr>
      </w:pPr>
    </w:p>
    <w:tbl>
      <w:tblPr>
        <w:tblW w:w="8530" w:type="dxa"/>
        <w:tblBorders>
          <w:insideH w:val="single" w:sz="4" w:space="0" w:color="FFFFFF"/>
        </w:tblBorders>
        <w:tblLayout w:type="fixed"/>
        <w:tblLook w:val="0000" w:firstRow="0" w:lastRow="0" w:firstColumn="0" w:lastColumn="0" w:noHBand="0" w:noVBand="0"/>
      </w:tblPr>
      <w:tblGrid>
        <w:gridCol w:w="3227"/>
        <w:gridCol w:w="5303"/>
      </w:tblGrid>
      <w:tr w:rsidR="00433DAC" w:rsidRPr="00406C76" w:rsidTr="00410FB7">
        <w:trPr>
          <w:trHeight w:hRule="exact" w:val="577"/>
        </w:trPr>
        <w:tc>
          <w:tcPr>
            <w:tcW w:w="3227" w:type="dxa"/>
            <w:shd w:val="clear" w:color="auto" w:fill="B8CCE4" w:themeFill="accent1" w:themeFillTint="66"/>
          </w:tcPr>
          <w:p w:rsidR="00433DAC" w:rsidRPr="00410FB7" w:rsidRDefault="00433DAC" w:rsidP="002E1D85">
            <w:pPr>
              <w:tabs>
                <w:tab w:val="left" w:pos="2977"/>
              </w:tabs>
              <w:rPr>
                <w:b/>
                <w:smallCaps/>
                <w:color w:val="000000"/>
                <w:lang w:val="en-US"/>
              </w:rPr>
            </w:pPr>
            <w:r w:rsidRPr="00410FB7">
              <w:rPr>
                <w:b/>
                <w:smallCaps/>
                <w:color w:val="31849B" w:themeColor="accent5" w:themeShade="BF"/>
                <w:lang w:val="en-US"/>
              </w:rPr>
              <w:t>Position Title</w:t>
            </w:r>
          </w:p>
        </w:tc>
        <w:tc>
          <w:tcPr>
            <w:tcW w:w="5303" w:type="dxa"/>
            <w:shd w:val="clear" w:color="auto" w:fill="B8CCE4" w:themeFill="accent1" w:themeFillTint="66"/>
          </w:tcPr>
          <w:p w:rsidR="00433DAC" w:rsidRPr="00406C76" w:rsidRDefault="00947EB4" w:rsidP="00947EB4">
            <w:pPr>
              <w:tabs>
                <w:tab w:val="left" w:pos="2977"/>
              </w:tabs>
              <w:rPr>
                <w:color w:val="000000"/>
                <w:lang w:val="en-US"/>
              </w:rPr>
            </w:pPr>
            <w:r>
              <w:rPr>
                <w:color w:val="000000"/>
                <w:lang w:val="en-US"/>
              </w:rPr>
              <w:t>Community Lawyer</w:t>
            </w:r>
            <w:r w:rsidR="009004C5">
              <w:rPr>
                <w:color w:val="000000"/>
                <w:lang w:val="en-US"/>
              </w:rPr>
              <w:t xml:space="preserve">, Family Violence </w:t>
            </w:r>
          </w:p>
        </w:tc>
      </w:tr>
      <w:tr w:rsidR="00433DAC" w:rsidRPr="00406C76" w:rsidTr="00410FB7">
        <w:trPr>
          <w:trHeight w:hRule="exact" w:val="284"/>
        </w:trPr>
        <w:tc>
          <w:tcPr>
            <w:tcW w:w="3227" w:type="dxa"/>
            <w:shd w:val="clear" w:color="auto" w:fill="B8CCE4" w:themeFill="accent1" w:themeFillTint="66"/>
          </w:tcPr>
          <w:p w:rsidR="00433DAC" w:rsidRPr="0030043D" w:rsidRDefault="00433DAC" w:rsidP="002E1D85">
            <w:pPr>
              <w:tabs>
                <w:tab w:val="left" w:pos="2977"/>
              </w:tabs>
              <w:rPr>
                <w:b/>
                <w:smallCaps/>
                <w:color w:val="000000"/>
                <w:lang w:val="en-US"/>
              </w:rPr>
            </w:pPr>
            <w:r w:rsidRPr="0030043D">
              <w:rPr>
                <w:b/>
                <w:smallCaps/>
                <w:color w:val="31849B" w:themeColor="accent5" w:themeShade="BF"/>
                <w:lang w:val="en-US"/>
              </w:rPr>
              <w:t>Tenure</w:t>
            </w:r>
          </w:p>
        </w:tc>
        <w:tc>
          <w:tcPr>
            <w:tcW w:w="5303" w:type="dxa"/>
            <w:shd w:val="clear" w:color="auto" w:fill="B8CCE4" w:themeFill="accent1" w:themeFillTint="66"/>
          </w:tcPr>
          <w:p w:rsidR="00433DAC" w:rsidRPr="00406C76" w:rsidRDefault="009E473F" w:rsidP="002E1D85">
            <w:pPr>
              <w:tabs>
                <w:tab w:val="left" w:pos="2977"/>
              </w:tabs>
              <w:rPr>
                <w:color w:val="000000"/>
                <w:lang w:val="en-US"/>
              </w:rPr>
            </w:pPr>
            <w:r>
              <w:rPr>
                <w:color w:val="000000"/>
                <w:lang w:val="en-US"/>
              </w:rPr>
              <w:t xml:space="preserve">Fixed Term 2 years </w:t>
            </w:r>
            <w:r w:rsidR="00401C10">
              <w:rPr>
                <w:color w:val="000000"/>
                <w:lang w:val="en-US"/>
              </w:rPr>
              <w:t xml:space="preserve"> </w:t>
            </w:r>
          </w:p>
        </w:tc>
      </w:tr>
      <w:tr w:rsidR="00433DAC" w:rsidRPr="00406C76" w:rsidTr="00410FB7">
        <w:trPr>
          <w:trHeight w:hRule="exact" w:val="284"/>
        </w:trPr>
        <w:tc>
          <w:tcPr>
            <w:tcW w:w="3227" w:type="dxa"/>
            <w:shd w:val="clear" w:color="auto" w:fill="B8CCE4" w:themeFill="accent1" w:themeFillTint="66"/>
          </w:tcPr>
          <w:p w:rsidR="00433DAC" w:rsidRPr="0030043D" w:rsidRDefault="00433DAC" w:rsidP="002E1D85">
            <w:pPr>
              <w:tabs>
                <w:tab w:val="left" w:pos="2977"/>
              </w:tabs>
              <w:rPr>
                <w:b/>
                <w:smallCaps/>
                <w:color w:val="000000"/>
                <w:lang w:val="en-US"/>
              </w:rPr>
            </w:pPr>
            <w:r w:rsidRPr="0030043D">
              <w:rPr>
                <w:b/>
                <w:smallCaps/>
                <w:color w:val="31849B" w:themeColor="accent5" w:themeShade="BF"/>
                <w:lang w:val="en-US"/>
              </w:rPr>
              <w:t>Division</w:t>
            </w:r>
          </w:p>
        </w:tc>
        <w:tc>
          <w:tcPr>
            <w:tcW w:w="5303" w:type="dxa"/>
            <w:shd w:val="clear" w:color="auto" w:fill="B8CCE4" w:themeFill="accent1" w:themeFillTint="66"/>
          </w:tcPr>
          <w:p w:rsidR="00433DAC" w:rsidRPr="00406C76" w:rsidRDefault="00433DAC" w:rsidP="002E1D85">
            <w:pPr>
              <w:tabs>
                <w:tab w:val="left" w:pos="2977"/>
              </w:tabs>
              <w:rPr>
                <w:color w:val="000000"/>
                <w:lang w:val="en-US"/>
              </w:rPr>
            </w:pPr>
            <w:r w:rsidRPr="00406C76">
              <w:rPr>
                <w:color w:val="000000"/>
                <w:lang w:val="en-US"/>
              </w:rPr>
              <w:t>Legal Services</w:t>
            </w:r>
          </w:p>
        </w:tc>
      </w:tr>
      <w:tr w:rsidR="00433DAC" w:rsidRPr="00406C76" w:rsidTr="00410FB7">
        <w:trPr>
          <w:trHeight w:hRule="exact" w:val="284"/>
        </w:trPr>
        <w:tc>
          <w:tcPr>
            <w:tcW w:w="3227" w:type="dxa"/>
            <w:shd w:val="clear" w:color="auto" w:fill="B8CCE4" w:themeFill="accent1" w:themeFillTint="66"/>
          </w:tcPr>
          <w:p w:rsidR="00433DAC" w:rsidRPr="0030043D" w:rsidRDefault="00433DAC" w:rsidP="002E1D85">
            <w:pPr>
              <w:tabs>
                <w:tab w:val="left" w:pos="2977"/>
              </w:tabs>
              <w:rPr>
                <w:b/>
                <w:smallCaps/>
                <w:color w:val="000000"/>
                <w:lang w:val="en-US"/>
              </w:rPr>
            </w:pPr>
            <w:r w:rsidRPr="0030043D">
              <w:rPr>
                <w:b/>
                <w:smallCaps/>
                <w:color w:val="31849B" w:themeColor="accent5" w:themeShade="BF"/>
                <w:lang w:val="en-US"/>
              </w:rPr>
              <w:t>Location</w:t>
            </w:r>
          </w:p>
        </w:tc>
        <w:tc>
          <w:tcPr>
            <w:tcW w:w="5303" w:type="dxa"/>
            <w:shd w:val="clear" w:color="auto" w:fill="B8CCE4" w:themeFill="accent1" w:themeFillTint="66"/>
          </w:tcPr>
          <w:p w:rsidR="00433DAC" w:rsidRPr="00406C76" w:rsidRDefault="00433DAC" w:rsidP="002E1D85">
            <w:pPr>
              <w:tabs>
                <w:tab w:val="left" w:pos="2977"/>
              </w:tabs>
              <w:rPr>
                <w:color w:val="000000"/>
                <w:lang w:val="en-US"/>
              </w:rPr>
            </w:pPr>
            <w:r w:rsidRPr="00406C76">
              <w:rPr>
                <w:color w:val="000000"/>
                <w:lang w:val="en-US"/>
              </w:rPr>
              <w:t>Frankston</w:t>
            </w:r>
          </w:p>
        </w:tc>
      </w:tr>
      <w:tr w:rsidR="00433DAC" w:rsidRPr="00406C76" w:rsidTr="00410FB7">
        <w:trPr>
          <w:trHeight w:hRule="exact" w:val="883"/>
        </w:trPr>
        <w:tc>
          <w:tcPr>
            <w:tcW w:w="3227" w:type="dxa"/>
            <w:shd w:val="clear" w:color="auto" w:fill="B8CCE4" w:themeFill="accent1" w:themeFillTint="66"/>
          </w:tcPr>
          <w:p w:rsidR="00433DAC" w:rsidRPr="0030043D" w:rsidRDefault="00433DAC" w:rsidP="002E1D85">
            <w:pPr>
              <w:tabs>
                <w:tab w:val="left" w:pos="2977"/>
              </w:tabs>
              <w:rPr>
                <w:b/>
                <w:smallCaps/>
                <w:color w:val="000000"/>
                <w:lang w:val="en-US"/>
              </w:rPr>
            </w:pPr>
            <w:r w:rsidRPr="0030043D">
              <w:rPr>
                <w:b/>
                <w:smallCaps/>
                <w:color w:val="31849B" w:themeColor="accent5" w:themeShade="BF"/>
                <w:lang w:val="en-US"/>
              </w:rPr>
              <w:t>Classification</w:t>
            </w:r>
          </w:p>
        </w:tc>
        <w:tc>
          <w:tcPr>
            <w:tcW w:w="5303" w:type="dxa"/>
            <w:shd w:val="clear" w:color="auto" w:fill="B8CCE4" w:themeFill="accent1" w:themeFillTint="66"/>
          </w:tcPr>
          <w:p w:rsidR="00433DAC" w:rsidRDefault="00433DAC" w:rsidP="002E1D85">
            <w:pPr>
              <w:tabs>
                <w:tab w:val="left" w:pos="2977"/>
              </w:tabs>
              <w:rPr>
                <w:color w:val="000000"/>
                <w:lang w:val="en-US"/>
              </w:rPr>
            </w:pPr>
            <w:r>
              <w:rPr>
                <w:color w:val="000000"/>
                <w:lang w:val="en-US"/>
              </w:rPr>
              <w:t>Social, Community, Home Care &amp; Disability Services Industry (SCHADS) Award 2010</w:t>
            </w:r>
          </w:p>
          <w:p w:rsidR="00433DAC" w:rsidRPr="00406C76" w:rsidRDefault="00433DAC" w:rsidP="002E1D85">
            <w:pPr>
              <w:tabs>
                <w:tab w:val="left" w:pos="2977"/>
              </w:tabs>
              <w:rPr>
                <w:color w:val="000000"/>
                <w:lang w:val="en-US"/>
              </w:rPr>
            </w:pPr>
            <w:r>
              <w:rPr>
                <w:color w:val="000000"/>
                <w:lang w:val="en-US"/>
              </w:rPr>
              <w:t xml:space="preserve">2B Level 5 </w:t>
            </w:r>
          </w:p>
        </w:tc>
      </w:tr>
      <w:tr w:rsidR="00433DAC" w:rsidRPr="00406C76" w:rsidTr="00410FB7">
        <w:trPr>
          <w:trHeight w:hRule="exact" w:val="284"/>
        </w:trPr>
        <w:tc>
          <w:tcPr>
            <w:tcW w:w="3227" w:type="dxa"/>
            <w:shd w:val="clear" w:color="auto" w:fill="B8CCE4" w:themeFill="accent1" w:themeFillTint="66"/>
          </w:tcPr>
          <w:p w:rsidR="00433DAC" w:rsidRPr="0030043D" w:rsidRDefault="00433DAC" w:rsidP="002E1D85">
            <w:pPr>
              <w:tabs>
                <w:tab w:val="left" w:pos="2977"/>
              </w:tabs>
              <w:rPr>
                <w:b/>
                <w:smallCaps/>
                <w:color w:val="000000"/>
                <w:lang w:val="en-US"/>
              </w:rPr>
            </w:pPr>
            <w:r w:rsidRPr="0030043D">
              <w:rPr>
                <w:b/>
                <w:smallCaps/>
                <w:color w:val="31849B" w:themeColor="accent5" w:themeShade="BF"/>
                <w:lang w:val="en-US"/>
              </w:rPr>
              <w:t>Approved By</w:t>
            </w:r>
          </w:p>
        </w:tc>
        <w:tc>
          <w:tcPr>
            <w:tcW w:w="5303" w:type="dxa"/>
            <w:shd w:val="clear" w:color="auto" w:fill="B8CCE4" w:themeFill="accent1" w:themeFillTint="66"/>
          </w:tcPr>
          <w:p w:rsidR="00433DAC" w:rsidRPr="00406C76" w:rsidRDefault="00433DAC" w:rsidP="002E1D85">
            <w:pPr>
              <w:tabs>
                <w:tab w:val="left" w:pos="2977"/>
              </w:tabs>
              <w:rPr>
                <w:color w:val="000000"/>
                <w:lang w:val="en-US"/>
              </w:rPr>
            </w:pPr>
            <w:r w:rsidRPr="00406C76">
              <w:rPr>
                <w:color w:val="000000"/>
                <w:lang w:val="en-US"/>
              </w:rPr>
              <w:t>Chief Executive Officer</w:t>
            </w:r>
          </w:p>
        </w:tc>
      </w:tr>
    </w:tbl>
    <w:p w:rsidR="00433DAC" w:rsidRDefault="00433DAC" w:rsidP="00433DAC">
      <w:pPr>
        <w:rPr>
          <w:lang w:val="en-US"/>
        </w:rPr>
      </w:pPr>
    </w:p>
    <w:p w:rsidR="0030043D" w:rsidRDefault="0030043D" w:rsidP="00433DAC">
      <w:pPr>
        <w:rPr>
          <w:lang w:val="en-US"/>
        </w:rPr>
      </w:pPr>
    </w:p>
    <w:tbl>
      <w:tblPr>
        <w:tblStyle w:val="TableGrid"/>
        <w:tblW w:w="0" w:type="auto"/>
        <w:shd w:val="clear" w:color="auto" w:fill="DAEEF3" w:themeFill="accent5" w:themeFillTint="33"/>
        <w:tblLook w:val="04A0" w:firstRow="1" w:lastRow="0" w:firstColumn="1" w:lastColumn="0" w:noHBand="0" w:noVBand="1"/>
      </w:tblPr>
      <w:tblGrid>
        <w:gridCol w:w="8290"/>
      </w:tblGrid>
      <w:tr w:rsidR="0030043D" w:rsidTr="00410FB7">
        <w:tc>
          <w:tcPr>
            <w:tcW w:w="8516" w:type="dxa"/>
            <w:shd w:val="clear" w:color="auto" w:fill="B8CCE4" w:themeFill="accent1" w:themeFillTint="66"/>
          </w:tcPr>
          <w:p w:rsidR="0030043D" w:rsidRPr="0030043D" w:rsidRDefault="0030043D" w:rsidP="00433DAC">
            <w:pPr>
              <w:rPr>
                <w:b/>
                <w:smallCaps/>
                <w:sz w:val="32"/>
                <w:szCs w:val="32"/>
                <w:lang w:val="en-US"/>
              </w:rPr>
            </w:pPr>
            <w:r w:rsidRPr="0030043D">
              <w:rPr>
                <w:b/>
                <w:smallCaps/>
                <w:color w:val="31849B" w:themeColor="accent5" w:themeShade="BF"/>
                <w:sz w:val="32"/>
                <w:szCs w:val="32"/>
                <w:lang w:val="en-US"/>
              </w:rPr>
              <w:t>Position Objective</w:t>
            </w:r>
          </w:p>
        </w:tc>
      </w:tr>
    </w:tbl>
    <w:p w:rsidR="00433DAC" w:rsidRDefault="00433DAC" w:rsidP="00433DAC"/>
    <w:p w:rsidR="00401C10" w:rsidRDefault="009004C5" w:rsidP="00433DAC">
      <w:pPr>
        <w:jc w:val="both"/>
      </w:pPr>
      <w:r>
        <w:t xml:space="preserve">The Community Lawyer, Family Violence will work </w:t>
      </w:r>
      <w:r w:rsidR="00401C10">
        <w:t xml:space="preserve">within the Centre’s Specialist Family Violence Court </w:t>
      </w:r>
      <w:r w:rsidR="00012F2D">
        <w:t xml:space="preserve">(SFVC) </w:t>
      </w:r>
      <w:r w:rsidR="00401C10">
        <w:t xml:space="preserve">funding model to </w:t>
      </w:r>
      <w:r>
        <w:t>provide high quality and timely legal services to clients affected by family violence</w:t>
      </w:r>
      <w:r w:rsidR="00401C10">
        <w:t xml:space="preserve">. </w:t>
      </w:r>
    </w:p>
    <w:p w:rsidR="00947EB4" w:rsidRDefault="009004C5" w:rsidP="00433DAC">
      <w:pPr>
        <w:jc w:val="both"/>
      </w:pPr>
      <w:r>
        <w:t xml:space="preserve"> </w:t>
      </w:r>
    </w:p>
    <w:p w:rsidR="00410FB7" w:rsidRDefault="009004C5" w:rsidP="009004C5">
      <w:pPr>
        <w:jc w:val="both"/>
      </w:pPr>
      <w:r>
        <w:t xml:space="preserve">The Community Lawyer, Family Violence will provide family violence legal services including information, </w:t>
      </w:r>
      <w:r w:rsidR="00410FB7">
        <w:t xml:space="preserve">intake &amp; triage, </w:t>
      </w:r>
      <w:r>
        <w:t xml:space="preserve">advice, minor assistance, casework, representation and referral services </w:t>
      </w:r>
      <w:r w:rsidR="00401C10">
        <w:t xml:space="preserve">primarily </w:t>
      </w:r>
      <w:r w:rsidR="00525B3D">
        <w:t>from our</w:t>
      </w:r>
      <w:r w:rsidR="00401C10">
        <w:t xml:space="preserve">  </w:t>
      </w:r>
      <w:r w:rsidR="000F7C72">
        <w:t xml:space="preserve">Frankston </w:t>
      </w:r>
      <w:r w:rsidR="00401C10">
        <w:t>office</w:t>
      </w:r>
      <w:r w:rsidR="00410FB7">
        <w:t xml:space="preserve">. </w:t>
      </w:r>
    </w:p>
    <w:p w:rsidR="00410FB7" w:rsidRDefault="00410FB7" w:rsidP="009004C5">
      <w:pPr>
        <w:jc w:val="both"/>
      </w:pPr>
    </w:p>
    <w:p w:rsidR="009004C5" w:rsidRDefault="009004C5" w:rsidP="009004C5">
      <w:pPr>
        <w:jc w:val="both"/>
      </w:pPr>
      <w:r>
        <w:t xml:space="preserve">The Position will also provide </w:t>
      </w:r>
      <w:r w:rsidR="00410FB7">
        <w:t xml:space="preserve">pre court engagement and </w:t>
      </w:r>
      <w:r>
        <w:t>family violence duty lawyer service</w:t>
      </w:r>
      <w:r w:rsidR="00410FB7">
        <w:t>s</w:t>
      </w:r>
      <w:r>
        <w:t xml:space="preserve"> at the </w:t>
      </w:r>
      <w:r w:rsidR="000F7C72">
        <w:t xml:space="preserve">Frankston </w:t>
      </w:r>
      <w:r w:rsidR="00401C10">
        <w:t xml:space="preserve">Specialist Family Violence </w:t>
      </w:r>
      <w:r>
        <w:t xml:space="preserve">Court. </w:t>
      </w:r>
    </w:p>
    <w:p w:rsidR="00C52497" w:rsidRDefault="00C52497" w:rsidP="00433DAC">
      <w:pPr>
        <w:jc w:val="both"/>
      </w:pPr>
    </w:p>
    <w:tbl>
      <w:tblPr>
        <w:tblStyle w:val="TableGrid"/>
        <w:tblW w:w="0" w:type="auto"/>
        <w:shd w:val="clear" w:color="auto" w:fill="DAEEF3" w:themeFill="accent5" w:themeFillTint="33"/>
        <w:tblLook w:val="04A0" w:firstRow="1" w:lastRow="0" w:firstColumn="1" w:lastColumn="0" w:noHBand="0" w:noVBand="1"/>
      </w:tblPr>
      <w:tblGrid>
        <w:gridCol w:w="8290"/>
      </w:tblGrid>
      <w:tr w:rsidR="0030043D" w:rsidTr="00410FB7">
        <w:tc>
          <w:tcPr>
            <w:tcW w:w="8516" w:type="dxa"/>
            <w:shd w:val="clear" w:color="auto" w:fill="B8CCE4" w:themeFill="accent1" w:themeFillTint="66"/>
          </w:tcPr>
          <w:p w:rsidR="0030043D" w:rsidRPr="0030043D" w:rsidRDefault="0030043D" w:rsidP="00433DAC">
            <w:pPr>
              <w:jc w:val="both"/>
              <w:rPr>
                <w:b/>
                <w:smallCaps/>
                <w:sz w:val="32"/>
              </w:rPr>
            </w:pPr>
            <w:r w:rsidRPr="0030043D">
              <w:rPr>
                <w:b/>
                <w:smallCaps/>
                <w:color w:val="31849B" w:themeColor="accent5" w:themeShade="BF"/>
                <w:sz w:val="32"/>
              </w:rPr>
              <w:t>Key Accountability Areas</w:t>
            </w:r>
          </w:p>
        </w:tc>
      </w:tr>
    </w:tbl>
    <w:p w:rsidR="00433DAC" w:rsidRDefault="00433DAC" w:rsidP="00433DAC"/>
    <w:p w:rsidR="00433DAC" w:rsidRPr="002354CE" w:rsidRDefault="00433DAC" w:rsidP="00433DAC">
      <w:pPr>
        <w:numPr>
          <w:ilvl w:val="0"/>
          <w:numId w:val="5"/>
        </w:numPr>
        <w:ind w:left="567" w:hanging="567"/>
        <w:jc w:val="both"/>
      </w:pPr>
      <w:r>
        <w:t>Deliver high quality legal advice and casework, advoc</w:t>
      </w:r>
      <w:r w:rsidR="009A0FFD">
        <w:t xml:space="preserve">acy and representation services in accordance with the PCLC </w:t>
      </w:r>
      <w:r w:rsidR="009A0FFD" w:rsidRPr="002354CE">
        <w:rPr>
          <w:i/>
        </w:rPr>
        <w:t>Advice and Casework Guidelines</w:t>
      </w:r>
      <w:r w:rsidR="00947EB4">
        <w:rPr>
          <w:i/>
        </w:rPr>
        <w:t>.</w:t>
      </w:r>
      <w:r w:rsidR="002354CE" w:rsidRPr="002354CE">
        <w:t xml:space="preserve"> </w:t>
      </w:r>
    </w:p>
    <w:p w:rsidR="00433DAC" w:rsidRDefault="00433DAC" w:rsidP="00433DAC">
      <w:pPr>
        <w:numPr>
          <w:ilvl w:val="0"/>
          <w:numId w:val="5"/>
        </w:numPr>
        <w:ind w:left="567" w:hanging="567"/>
        <w:jc w:val="both"/>
      </w:pPr>
      <w:r>
        <w:t xml:space="preserve">Conduct ongoing casework in accordance with the Centre’s </w:t>
      </w:r>
      <w:r w:rsidRPr="005248C5">
        <w:rPr>
          <w:i/>
        </w:rPr>
        <w:t>Advice and Casework Guidelines</w:t>
      </w:r>
      <w:r>
        <w:t xml:space="preserve"> and within the caseload/file limit directed from time to time</w:t>
      </w:r>
    </w:p>
    <w:p w:rsidR="0072710F" w:rsidRDefault="0072710F" w:rsidP="00433DAC">
      <w:pPr>
        <w:numPr>
          <w:ilvl w:val="0"/>
          <w:numId w:val="5"/>
        </w:numPr>
        <w:ind w:left="567" w:hanging="567"/>
        <w:jc w:val="both"/>
      </w:pPr>
      <w:r>
        <w:t>Provide duty lawyer</w:t>
      </w:r>
      <w:r w:rsidR="00410FB7">
        <w:t xml:space="preserve">, pre court engagement </w:t>
      </w:r>
      <w:r>
        <w:t xml:space="preserve">and representation services in accordance with Centre’s </w:t>
      </w:r>
      <w:r w:rsidRPr="0072710F">
        <w:rPr>
          <w:i/>
        </w:rPr>
        <w:t>Advice &amp; Casework Guidelines</w:t>
      </w:r>
      <w:r w:rsidR="008B7B74">
        <w:t xml:space="preserve"> &amp; SFVC legal practice model. </w:t>
      </w:r>
    </w:p>
    <w:p w:rsidR="00433DAC" w:rsidRDefault="00433DAC" w:rsidP="00433DAC">
      <w:pPr>
        <w:numPr>
          <w:ilvl w:val="0"/>
          <w:numId w:val="5"/>
        </w:numPr>
        <w:ind w:left="567" w:hanging="567"/>
        <w:jc w:val="both"/>
      </w:pPr>
      <w:r>
        <w:t xml:space="preserve">Work closely and collaboratively with </w:t>
      </w:r>
      <w:r w:rsidR="008B7B74">
        <w:t>our practice partners</w:t>
      </w:r>
      <w:r w:rsidR="00FF2D70">
        <w:t>, Victoria Legal Aid</w:t>
      </w:r>
      <w:r w:rsidR="0032306A">
        <w:t>, VicPol</w:t>
      </w:r>
      <w:bookmarkStart w:id="0" w:name="_GoBack"/>
      <w:bookmarkEnd w:id="0"/>
      <w:r w:rsidR="00410FB7">
        <w:t xml:space="preserve"> </w:t>
      </w:r>
      <w:r w:rsidR="008B7B74">
        <w:t xml:space="preserve"> </w:t>
      </w:r>
      <w:r w:rsidR="009E473F">
        <w:t>and</w:t>
      </w:r>
      <w:r w:rsidR="000F7C72">
        <w:t xml:space="preserve"> </w:t>
      </w:r>
      <w:r w:rsidR="00410FB7">
        <w:t xml:space="preserve">the </w:t>
      </w:r>
      <w:r w:rsidR="000F7C72">
        <w:t xml:space="preserve">Frankston </w:t>
      </w:r>
      <w:r w:rsidR="008B7B74">
        <w:t>Specialist Family Violence Court</w:t>
      </w:r>
      <w:r w:rsidR="003F4B01">
        <w:t xml:space="preserve"> </w:t>
      </w:r>
      <w:r w:rsidR="00FF2D70">
        <w:t xml:space="preserve">to support the </w:t>
      </w:r>
      <w:r w:rsidR="008B7B74">
        <w:t>SFVC</w:t>
      </w:r>
      <w:r w:rsidR="00FF2D70">
        <w:t xml:space="preserve"> </w:t>
      </w:r>
      <w:r w:rsidR="008B7B74">
        <w:t>practice model</w:t>
      </w:r>
      <w:r w:rsidR="00FF2D70">
        <w:t xml:space="preserve"> objectives</w:t>
      </w:r>
      <w:r>
        <w:t xml:space="preserve">. </w:t>
      </w:r>
    </w:p>
    <w:p w:rsidR="008B7B74" w:rsidRDefault="008B7B74" w:rsidP="00433DAC">
      <w:pPr>
        <w:numPr>
          <w:ilvl w:val="0"/>
          <w:numId w:val="5"/>
        </w:numPr>
        <w:ind w:left="567" w:hanging="567"/>
        <w:jc w:val="both"/>
      </w:pPr>
      <w:r>
        <w:t xml:space="preserve">Actively participate in SFVC working groups to support the involvement and implementation of the SFVC legal practice model. </w:t>
      </w:r>
    </w:p>
    <w:p w:rsidR="00433DAC" w:rsidRPr="0030043D" w:rsidRDefault="00433DAC" w:rsidP="00433DAC">
      <w:pPr>
        <w:numPr>
          <w:ilvl w:val="0"/>
          <w:numId w:val="5"/>
        </w:numPr>
        <w:ind w:left="567" w:hanging="567"/>
        <w:jc w:val="both"/>
      </w:pPr>
      <w:r w:rsidRPr="00E102A5">
        <w:rPr>
          <w:rFonts w:cs="Arial"/>
        </w:rPr>
        <w:t>Maintain an appropriate case management system, including undertaking regular file reviews</w:t>
      </w:r>
    </w:p>
    <w:p w:rsidR="0030043D" w:rsidRPr="0030043D" w:rsidRDefault="0030043D" w:rsidP="00433DAC">
      <w:pPr>
        <w:numPr>
          <w:ilvl w:val="0"/>
          <w:numId w:val="5"/>
        </w:numPr>
        <w:ind w:left="567" w:hanging="567"/>
        <w:jc w:val="both"/>
      </w:pPr>
      <w:r>
        <w:rPr>
          <w:rFonts w:cs="Arial"/>
        </w:rPr>
        <w:t>Maintain accurate and up-to-date records, including file notes</w:t>
      </w:r>
      <w:r w:rsidR="003F4B01">
        <w:rPr>
          <w:rFonts w:cs="Arial"/>
        </w:rPr>
        <w:t>, client</w:t>
      </w:r>
      <w:r>
        <w:rPr>
          <w:rFonts w:cs="Arial"/>
        </w:rPr>
        <w:t xml:space="preserve"> and casework </w:t>
      </w:r>
      <w:r w:rsidR="00FF2D70">
        <w:rPr>
          <w:rFonts w:cs="Arial"/>
        </w:rPr>
        <w:t xml:space="preserve">data </w:t>
      </w:r>
      <w:r w:rsidR="003F4B01">
        <w:rPr>
          <w:rFonts w:cs="Arial"/>
        </w:rPr>
        <w:t>and case studies</w:t>
      </w:r>
      <w:r>
        <w:rPr>
          <w:rFonts w:cs="Arial"/>
        </w:rPr>
        <w:t xml:space="preserve">. </w:t>
      </w:r>
    </w:p>
    <w:p w:rsidR="0030043D" w:rsidRPr="0030043D" w:rsidRDefault="0030043D" w:rsidP="00433DAC">
      <w:pPr>
        <w:numPr>
          <w:ilvl w:val="0"/>
          <w:numId w:val="5"/>
        </w:numPr>
        <w:ind w:left="567" w:hanging="567"/>
        <w:jc w:val="both"/>
      </w:pPr>
      <w:r>
        <w:rPr>
          <w:rFonts w:cs="Arial"/>
        </w:rPr>
        <w:lastRenderedPageBreak/>
        <w:t xml:space="preserve">Develop and maintain up-to-date knowledge of relevant legislation, procedures and practices relevant to the position. </w:t>
      </w:r>
    </w:p>
    <w:p w:rsidR="0030043D" w:rsidRPr="0030043D" w:rsidRDefault="0030043D" w:rsidP="00433DAC">
      <w:pPr>
        <w:numPr>
          <w:ilvl w:val="0"/>
          <w:numId w:val="5"/>
        </w:numPr>
        <w:ind w:left="567" w:hanging="567"/>
        <w:jc w:val="both"/>
      </w:pPr>
      <w:r>
        <w:rPr>
          <w:rFonts w:cs="Arial"/>
        </w:rPr>
        <w:t xml:space="preserve">Develop and maintain up-to-date knowledge of relevant information, resources and referral options for clients. </w:t>
      </w:r>
    </w:p>
    <w:p w:rsidR="0030043D" w:rsidRPr="0030043D" w:rsidRDefault="0030043D" w:rsidP="00433DAC">
      <w:pPr>
        <w:numPr>
          <w:ilvl w:val="0"/>
          <w:numId w:val="5"/>
        </w:numPr>
        <w:ind w:left="567" w:hanging="567"/>
        <w:jc w:val="both"/>
      </w:pPr>
      <w:r>
        <w:rPr>
          <w:rFonts w:cs="Arial"/>
        </w:rPr>
        <w:t xml:space="preserve">Participate in regular supervision and caseworkers’ meetings. </w:t>
      </w:r>
    </w:p>
    <w:p w:rsidR="0030043D" w:rsidRPr="0030043D" w:rsidRDefault="0030043D" w:rsidP="00433DAC">
      <w:pPr>
        <w:numPr>
          <w:ilvl w:val="0"/>
          <w:numId w:val="5"/>
        </w:numPr>
        <w:ind w:left="567" w:hanging="567"/>
        <w:jc w:val="both"/>
      </w:pPr>
      <w:r>
        <w:rPr>
          <w:rFonts w:cs="Arial"/>
        </w:rPr>
        <w:t xml:space="preserve">Ensure that all work is conducted within the requirements of the </w:t>
      </w:r>
      <w:r w:rsidRPr="00880940">
        <w:rPr>
          <w:rFonts w:cs="Arial"/>
          <w:i/>
        </w:rPr>
        <w:t>Legal Profession Uniform Law Application Act 2014</w:t>
      </w:r>
      <w:r>
        <w:rPr>
          <w:rFonts w:cs="Arial"/>
        </w:rPr>
        <w:t xml:space="preserve">, the Centre’s professional indemnity insurance and the Centre’s policies and procedures. </w:t>
      </w:r>
    </w:p>
    <w:p w:rsidR="0030043D" w:rsidRPr="0030043D" w:rsidRDefault="0030043D" w:rsidP="00433DAC">
      <w:pPr>
        <w:numPr>
          <w:ilvl w:val="0"/>
          <w:numId w:val="5"/>
        </w:numPr>
        <w:ind w:left="567" w:hanging="567"/>
        <w:jc w:val="both"/>
      </w:pPr>
      <w:r>
        <w:rPr>
          <w:rFonts w:cs="Arial"/>
        </w:rPr>
        <w:t xml:space="preserve">Liaise with relevant organisations and workers. </w:t>
      </w:r>
    </w:p>
    <w:p w:rsidR="0030043D" w:rsidRPr="0030043D" w:rsidRDefault="0030043D" w:rsidP="00433DAC">
      <w:pPr>
        <w:numPr>
          <w:ilvl w:val="0"/>
          <w:numId w:val="5"/>
        </w:numPr>
        <w:ind w:left="567" w:hanging="567"/>
        <w:jc w:val="both"/>
      </w:pPr>
      <w:r>
        <w:rPr>
          <w:rFonts w:cs="Arial"/>
        </w:rPr>
        <w:t xml:space="preserve">Represent Peninsula Community Legal Centre at relevant community, government and other forums. </w:t>
      </w:r>
    </w:p>
    <w:p w:rsidR="0030043D" w:rsidRPr="0030043D" w:rsidRDefault="0030043D" w:rsidP="00433DAC">
      <w:pPr>
        <w:numPr>
          <w:ilvl w:val="0"/>
          <w:numId w:val="5"/>
        </w:numPr>
        <w:ind w:left="567" w:hanging="567"/>
        <w:jc w:val="both"/>
      </w:pPr>
      <w:r>
        <w:rPr>
          <w:rFonts w:cs="Arial"/>
        </w:rPr>
        <w:t xml:space="preserve">Participate in community legal education activities as directed. </w:t>
      </w:r>
    </w:p>
    <w:p w:rsidR="0030043D" w:rsidRPr="0030043D" w:rsidRDefault="0030043D" w:rsidP="00433DAC">
      <w:pPr>
        <w:numPr>
          <w:ilvl w:val="0"/>
          <w:numId w:val="5"/>
        </w:numPr>
        <w:ind w:left="567" w:hanging="567"/>
        <w:jc w:val="both"/>
      </w:pPr>
      <w:r>
        <w:rPr>
          <w:rFonts w:cs="Arial"/>
        </w:rPr>
        <w:t xml:space="preserve">Identify trends and issues arising from legal advice and casework practice. </w:t>
      </w:r>
    </w:p>
    <w:p w:rsidR="0030043D" w:rsidRPr="0030043D" w:rsidRDefault="0030043D" w:rsidP="00433DAC">
      <w:pPr>
        <w:numPr>
          <w:ilvl w:val="0"/>
          <w:numId w:val="5"/>
        </w:numPr>
        <w:ind w:left="567" w:hanging="567"/>
        <w:jc w:val="both"/>
      </w:pPr>
      <w:r>
        <w:rPr>
          <w:rFonts w:cs="Arial"/>
        </w:rPr>
        <w:t xml:space="preserve">Participate in activities which seek to ensure greater legislative and practical protection for PCLC clients, such as submission writing and participation in campaigns. </w:t>
      </w:r>
    </w:p>
    <w:p w:rsidR="0030043D" w:rsidRPr="0030043D" w:rsidRDefault="0030043D" w:rsidP="00433DAC">
      <w:pPr>
        <w:numPr>
          <w:ilvl w:val="0"/>
          <w:numId w:val="5"/>
        </w:numPr>
        <w:ind w:left="567" w:hanging="567"/>
        <w:jc w:val="both"/>
      </w:pPr>
      <w:r>
        <w:rPr>
          <w:rFonts w:cs="Arial"/>
        </w:rPr>
        <w:t xml:space="preserve">Liaise with and report to the Practice Manager, </w:t>
      </w:r>
      <w:r w:rsidR="009004C5">
        <w:rPr>
          <w:rFonts w:cs="Arial"/>
        </w:rPr>
        <w:t xml:space="preserve">Family Violence </w:t>
      </w:r>
      <w:r>
        <w:rPr>
          <w:rFonts w:cs="Arial"/>
        </w:rPr>
        <w:t xml:space="preserve">on a regular basis. </w:t>
      </w:r>
    </w:p>
    <w:p w:rsidR="0030043D" w:rsidRPr="00E102A5" w:rsidRDefault="0030043D" w:rsidP="00433DAC">
      <w:pPr>
        <w:numPr>
          <w:ilvl w:val="0"/>
          <w:numId w:val="5"/>
        </w:numPr>
        <w:ind w:left="567" w:hanging="567"/>
        <w:jc w:val="both"/>
      </w:pPr>
      <w:r>
        <w:rPr>
          <w:rFonts w:cs="Arial"/>
        </w:rPr>
        <w:t>Assist with collection of data and preparation of reports and other accountability documentation as required.</w:t>
      </w:r>
    </w:p>
    <w:p w:rsidR="00433DAC" w:rsidRDefault="00433DAC" w:rsidP="00433DAC">
      <w:pPr>
        <w:pStyle w:val="NoSpacing"/>
        <w:rPr>
          <w:rFonts w:ascii="Arial" w:hAnsi="Arial" w:cs="Arial"/>
          <w:b/>
        </w:rPr>
      </w:pPr>
    </w:p>
    <w:p w:rsidR="00C52497" w:rsidRDefault="00C52497" w:rsidP="00433DAC">
      <w:pPr>
        <w:pStyle w:val="NoSpacing"/>
        <w:rPr>
          <w:rFonts w:ascii="Arial" w:hAnsi="Arial" w:cs="Arial"/>
          <w:b/>
        </w:rPr>
      </w:pPr>
    </w:p>
    <w:tbl>
      <w:tblPr>
        <w:tblStyle w:val="TableGrid"/>
        <w:tblW w:w="0" w:type="auto"/>
        <w:shd w:val="clear" w:color="auto" w:fill="DAEEF3" w:themeFill="accent5" w:themeFillTint="33"/>
        <w:tblLook w:val="04A0" w:firstRow="1" w:lastRow="0" w:firstColumn="1" w:lastColumn="0" w:noHBand="0" w:noVBand="1"/>
      </w:tblPr>
      <w:tblGrid>
        <w:gridCol w:w="8290"/>
      </w:tblGrid>
      <w:tr w:rsidR="00C52497" w:rsidTr="00410FB7">
        <w:tc>
          <w:tcPr>
            <w:tcW w:w="8516" w:type="dxa"/>
            <w:shd w:val="clear" w:color="auto" w:fill="B8CCE4" w:themeFill="accent1" w:themeFillTint="66"/>
          </w:tcPr>
          <w:p w:rsidR="00C52497" w:rsidRPr="00C52497" w:rsidRDefault="00C52497" w:rsidP="00433DAC">
            <w:pPr>
              <w:pStyle w:val="NoSpacing"/>
              <w:rPr>
                <w:rFonts w:ascii="Arial" w:hAnsi="Arial" w:cs="Arial"/>
                <w:b/>
                <w:smallCaps/>
                <w:sz w:val="30"/>
                <w:szCs w:val="30"/>
              </w:rPr>
            </w:pPr>
            <w:r w:rsidRPr="00C52497">
              <w:rPr>
                <w:rFonts w:ascii="Arial" w:hAnsi="Arial" w:cs="Arial"/>
                <w:b/>
                <w:smallCaps/>
                <w:color w:val="31849B" w:themeColor="accent5" w:themeShade="BF"/>
                <w:sz w:val="30"/>
                <w:szCs w:val="30"/>
              </w:rPr>
              <w:t>Organisational Relationships &amp; Resource Management</w:t>
            </w:r>
          </w:p>
        </w:tc>
      </w:tr>
    </w:tbl>
    <w:p w:rsidR="00433DAC" w:rsidRPr="002C7DFC" w:rsidRDefault="00433DAC" w:rsidP="00433DAC">
      <w:pPr>
        <w:tabs>
          <w:tab w:val="left" w:pos="720"/>
          <w:tab w:val="left" w:pos="5040"/>
        </w:tabs>
        <w:rPr>
          <w:b/>
        </w:rPr>
      </w:pPr>
    </w:p>
    <w:p w:rsidR="00433DAC" w:rsidRDefault="00433DAC" w:rsidP="00433DAC">
      <w:pPr>
        <w:tabs>
          <w:tab w:val="left" w:pos="720"/>
          <w:tab w:val="left" w:pos="2835"/>
        </w:tabs>
        <w:ind w:left="2835" w:hanging="2835"/>
        <w:jc w:val="both"/>
        <w:rPr>
          <w:b/>
        </w:rPr>
      </w:pPr>
      <w:r w:rsidRPr="002C7DFC">
        <w:rPr>
          <w:b/>
        </w:rPr>
        <w:t>Reports to:</w:t>
      </w:r>
      <w:r w:rsidRPr="002C7DFC">
        <w:rPr>
          <w:b/>
        </w:rPr>
        <w:tab/>
      </w:r>
      <w:r w:rsidRPr="00F5357E">
        <w:t xml:space="preserve">Practice Manager, </w:t>
      </w:r>
      <w:r w:rsidR="009004C5">
        <w:t xml:space="preserve">Family Violence </w:t>
      </w:r>
    </w:p>
    <w:p w:rsidR="00433DAC" w:rsidRDefault="00433DAC" w:rsidP="00433DAC">
      <w:pPr>
        <w:tabs>
          <w:tab w:val="left" w:pos="720"/>
          <w:tab w:val="left" w:pos="2835"/>
        </w:tabs>
        <w:ind w:left="2835" w:hanging="2835"/>
        <w:jc w:val="both"/>
      </w:pPr>
      <w:r>
        <w:rPr>
          <w:b/>
        </w:rPr>
        <w:tab/>
      </w:r>
      <w:r>
        <w:rPr>
          <w:b/>
        </w:rPr>
        <w:tab/>
      </w:r>
      <w:r>
        <w:t xml:space="preserve">Director, Legal Services </w:t>
      </w:r>
    </w:p>
    <w:p w:rsidR="00433DAC" w:rsidRPr="002726DA" w:rsidRDefault="00433DAC" w:rsidP="00433DAC">
      <w:pPr>
        <w:tabs>
          <w:tab w:val="left" w:pos="720"/>
          <w:tab w:val="left" w:pos="2835"/>
        </w:tabs>
        <w:ind w:left="2835" w:hanging="2835"/>
        <w:jc w:val="both"/>
      </w:pPr>
      <w:r>
        <w:tab/>
      </w:r>
      <w:r>
        <w:tab/>
        <w:t>Chief Executive Officer</w:t>
      </w:r>
    </w:p>
    <w:p w:rsidR="00433DAC" w:rsidRPr="00735290" w:rsidRDefault="00433DAC" w:rsidP="00433DAC">
      <w:pPr>
        <w:tabs>
          <w:tab w:val="left" w:pos="720"/>
          <w:tab w:val="left" w:pos="1080"/>
          <w:tab w:val="left" w:pos="2835"/>
        </w:tabs>
        <w:ind w:left="2835" w:hanging="2835"/>
        <w:jc w:val="both"/>
        <w:rPr>
          <w:bCs/>
        </w:rPr>
      </w:pPr>
      <w:r>
        <w:rPr>
          <w:b/>
        </w:rPr>
        <w:t>Direct Reports</w:t>
      </w:r>
      <w:r w:rsidRPr="002C7DFC">
        <w:rPr>
          <w:b/>
        </w:rPr>
        <w:t>:</w:t>
      </w:r>
      <w:r w:rsidRPr="002C7DFC">
        <w:rPr>
          <w:b/>
        </w:rPr>
        <w:tab/>
      </w:r>
      <w:r>
        <w:t>No reports to this position</w:t>
      </w:r>
    </w:p>
    <w:p w:rsidR="00433DAC" w:rsidRDefault="00433DAC" w:rsidP="00433DAC">
      <w:pPr>
        <w:tabs>
          <w:tab w:val="left" w:pos="2694"/>
        </w:tabs>
        <w:rPr>
          <w:lang w:val="en-US"/>
        </w:rPr>
      </w:pPr>
    </w:p>
    <w:p w:rsidR="00C52497" w:rsidRDefault="00C52497" w:rsidP="00433DAC">
      <w:pPr>
        <w:tabs>
          <w:tab w:val="left" w:pos="2694"/>
        </w:tabs>
        <w:rPr>
          <w:lang w:val="en-US"/>
        </w:rPr>
      </w:pPr>
    </w:p>
    <w:tbl>
      <w:tblPr>
        <w:tblStyle w:val="TableGrid"/>
        <w:tblW w:w="0" w:type="auto"/>
        <w:shd w:val="clear" w:color="auto" w:fill="DAEEF3" w:themeFill="accent5" w:themeFillTint="33"/>
        <w:tblLook w:val="04A0" w:firstRow="1" w:lastRow="0" w:firstColumn="1" w:lastColumn="0" w:noHBand="0" w:noVBand="1"/>
      </w:tblPr>
      <w:tblGrid>
        <w:gridCol w:w="8290"/>
      </w:tblGrid>
      <w:tr w:rsidR="00C52497" w:rsidTr="00410FB7">
        <w:tc>
          <w:tcPr>
            <w:tcW w:w="8516" w:type="dxa"/>
            <w:shd w:val="clear" w:color="auto" w:fill="B8CCE4" w:themeFill="accent1" w:themeFillTint="66"/>
          </w:tcPr>
          <w:p w:rsidR="00C52497" w:rsidRPr="00C52497" w:rsidRDefault="00C52497" w:rsidP="00433DAC">
            <w:pPr>
              <w:tabs>
                <w:tab w:val="left" w:pos="2694"/>
              </w:tabs>
              <w:rPr>
                <w:b/>
                <w:smallCaps/>
                <w:sz w:val="32"/>
                <w:lang w:val="en-US"/>
              </w:rPr>
            </w:pPr>
            <w:r w:rsidRPr="00C52497">
              <w:rPr>
                <w:b/>
                <w:smallCaps/>
                <w:color w:val="31849B" w:themeColor="accent5" w:themeShade="BF"/>
                <w:sz w:val="32"/>
                <w:lang w:val="en-US"/>
              </w:rPr>
              <w:t>Accountability, Authority &amp; Decision Making</w:t>
            </w:r>
          </w:p>
        </w:tc>
      </w:tr>
    </w:tbl>
    <w:p w:rsidR="00433DAC" w:rsidRPr="00B04438" w:rsidRDefault="00433DAC" w:rsidP="00433DAC"/>
    <w:p w:rsidR="00433DAC" w:rsidRDefault="00433DAC" w:rsidP="00433DAC">
      <w:pPr>
        <w:pStyle w:val="BodyText"/>
        <w:jc w:val="both"/>
        <w:rPr>
          <w:rFonts w:cs="Arial"/>
          <w:iCs/>
        </w:rPr>
      </w:pPr>
      <w:r w:rsidRPr="00DF138B">
        <w:rPr>
          <w:rFonts w:cs="Arial"/>
          <w:iCs/>
        </w:rPr>
        <w:t xml:space="preserve">The position </w:t>
      </w:r>
      <w:r>
        <w:rPr>
          <w:rFonts w:cs="Arial"/>
          <w:iCs/>
        </w:rPr>
        <w:t xml:space="preserve">reports directly to </w:t>
      </w:r>
      <w:r w:rsidRPr="00DF138B">
        <w:rPr>
          <w:rFonts w:cs="Arial"/>
          <w:iCs/>
        </w:rPr>
        <w:t xml:space="preserve">the </w:t>
      </w:r>
      <w:r>
        <w:rPr>
          <w:rFonts w:cs="Arial"/>
          <w:iCs/>
        </w:rPr>
        <w:t xml:space="preserve">Practice Manager, </w:t>
      </w:r>
      <w:r w:rsidR="009004C5">
        <w:rPr>
          <w:rFonts w:cs="Arial"/>
          <w:iCs/>
        </w:rPr>
        <w:t xml:space="preserve">Family Violence </w:t>
      </w:r>
    </w:p>
    <w:p w:rsidR="00433DAC" w:rsidRPr="00E102A5" w:rsidRDefault="00433DAC" w:rsidP="00433DAC">
      <w:pPr>
        <w:pStyle w:val="NoSpacing"/>
        <w:rPr>
          <w:rFonts w:ascii="Arial" w:hAnsi="Arial" w:cs="Arial"/>
        </w:rPr>
      </w:pPr>
      <w:r w:rsidRPr="00E102A5">
        <w:rPr>
          <w:rFonts w:ascii="Arial" w:hAnsi="Arial" w:cs="Arial"/>
        </w:rPr>
        <w:t>All work and conduct is to be performed in accordance with PCLC Policy and Procedures, PCLC Strategic Plan, PCLC Work Plan and PCLC Advice and Casework Guidelines.</w:t>
      </w:r>
    </w:p>
    <w:p w:rsidR="00433DAC" w:rsidRPr="00E102A5" w:rsidRDefault="00433DAC" w:rsidP="00433DAC">
      <w:pPr>
        <w:pStyle w:val="NoSpacing"/>
      </w:pPr>
    </w:p>
    <w:p w:rsidR="00433DAC" w:rsidRPr="00E102A5" w:rsidRDefault="00433DAC" w:rsidP="00433DAC">
      <w:pPr>
        <w:pStyle w:val="NoSpacing"/>
        <w:rPr>
          <w:rFonts w:ascii="Arial" w:hAnsi="Arial" w:cs="Arial"/>
        </w:rPr>
      </w:pPr>
      <w:r w:rsidRPr="00E102A5">
        <w:rPr>
          <w:rFonts w:ascii="Arial" w:hAnsi="Arial" w:cs="Arial"/>
        </w:rPr>
        <w:t xml:space="preserve">Professional judgement is exercised in the performance of routine tasks and client services. </w:t>
      </w:r>
    </w:p>
    <w:p w:rsidR="00433DAC" w:rsidRPr="00E102A5" w:rsidRDefault="00433DAC" w:rsidP="00433DAC">
      <w:pPr>
        <w:pStyle w:val="NoSpacing"/>
        <w:rPr>
          <w:rFonts w:ascii="Arial" w:hAnsi="Arial" w:cs="Arial"/>
        </w:rPr>
      </w:pPr>
    </w:p>
    <w:p w:rsidR="00433DAC" w:rsidRPr="00E102A5" w:rsidRDefault="00433DAC" w:rsidP="00433DAC">
      <w:pPr>
        <w:pStyle w:val="NoSpacing"/>
        <w:rPr>
          <w:rFonts w:ascii="Arial" w:hAnsi="Arial" w:cs="Arial"/>
        </w:rPr>
      </w:pPr>
      <w:r w:rsidRPr="00E102A5">
        <w:rPr>
          <w:rFonts w:ascii="Arial" w:hAnsi="Arial" w:cs="Arial"/>
        </w:rPr>
        <w:t>Direction is sought prior to engaging in non-routine tasks and client services.</w:t>
      </w:r>
    </w:p>
    <w:p w:rsidR="00433DAC" w:rsidRDefault="00433DAC" w:rsidP="00C52497"/>
    <w:p w:rsidR="00C52497" w:rsidRDefault="00C52497" w:rsidP="00C52497"/>
    <w:tbl>
      <w:tblPr>
        <w:tblStyle w:val="TableGrid"/>
        <w:tblW w:w="0" w:type="auto"/>
        <w:shd w:val="clear" w:color="auto" w:fill="DAEEF3" w:themeFill="accent5" w:themeFillTint="33"/>
        <w:tblLook w:val="04A0" w:firstRow="1" w:lastRow="0" w:firstColumn="1" w:lastColumn="0" w:noHBand="0" w:noVBand="1"/>
      </w:tblPr>
      <w:tblGrid>
        <w:gridCol w:w="8290"/>
      </w:tblGrid>
      <w:tr w:rsidR="00C52497" w:rsidTr="00410FB7">
        <w:tc>
          <w:tcPr>
            <w:tcW w:w="8516" w:type="dxa"/>
            <w:shd w:val="clear" w:color="auto" w:fill="B8CCE4" w:themeFill="accent1" w:themeFillTint="66"/>
          </w:tcPr>
          <w:p w:rsidR="00C52497" w:rsidRPr="00C52497" w:rsidRDefault="00C52497" w:rsidP="00C52497">
            <w:pPr>
              <w:pStyle w:val="BodyText"/>
              <w:spacing w:after="0"/>
              <w:jc w:val="both"/>
              <w:rPr>
                <w:rFonts w:cs="Arial"/>
                <w:b/>
                <w:iCs/>
                <w:smallCaps/>
                <w:sz w:val="32"/>
                <w:szCs w:val="32"/>
              </w:rPr>
            </w:pPr>
            <w:r w:rsidRPr="00C52497">
              <w:rPr>
                <w:rFonts w:cs="Arial"/>
                <w:b/>
                <w:iCs/>
                <w:smallCaps/>
                <w:color w:val="31849B" w:themeColor="accent5" w:themeShade="BF"/>
                <w:sz w:val="32"/>
                <w:szCs w:val="32"/>
              </w:rPr>
              <w:t>Selection Criteria</w:t>
            </w:r>
          </w:p>
        </w:tc>
      </w:tr>
    </w:tbl>
    <w:p w:rsidR="00C52497" w:rsidRDefault="00C52497" w:rsidP="00433DAC">
      <w:pPr>
        <w:pStyle w:val="BodyText"/>
        <w:jc w:val="both"/>
        <w:rPr>
          <w:rFonts w:cs="Arial"/>
          <w:iCs/>
        </w:rPr>
      </w:pPr>
    </w:p>
    <w:p w:rsidR="00E74E32" w:rsidRDefault="00FF2D70" w:rsidP="00E74E32">
      <w:pPr>
        <w:numPr>
          <w:ilvl w:val="0"/>
          <w:numId w:val="1"/>
        </w:numPr>
        <w:autoSpaceDE w:val="0"/>
        <w:autoSpaceDN w:val="0"/>
        <w:adjustRightInd w:val="0"/>
        <w:spacing w:before="80"/>
        <w:ind w:left="357" w:hanging="357"/>
        <w:jc w:val="both"/>
        <w:rPr>
          <w:rFonts w:cs="Arial"/>
          <w:lang w:val="en-US"/>
        </w:rPr>
      </w:pPr>
      <w:r>
        <w:rPr>
          <w:rFonts w:cs="Arial"/>
          <w:lang w:val="en-US"/>
        </w:rPr>
        <w:t xml:space="preserve">Possess, or is eligible to possess, a current practicing certificate including High Court registration with two years post admission practice. </w:t>
      </w:r>
    </w:p>
    <w:p w:rsidR="007B7E90" w:rsidRDefault="0072710F" w:rsidP="00525B3D">
      <w:pPr>
        <w:numPr>
          <w:ilvl w:val="0"/>
          <w:numId w:val="1"/>
        </w:numPr>
        <w:autoSpaceDE w:val="0"/>
        <w:autoSpaceDN w:val="0"/>
        <w:adjustRightInd w:val="0"/>
        <w:spacing w:before="80"/>
        <w:ind w:left="357" w:hanging="357"/>
        <w:jc w:val="both"/>
        <w:rPr>
          <w:rFonts w:cs="Arial"/>
          <w:lang w:val="en-US"/>
        </w:rPr>
      </w:pPr>
      <w:r>
        <w:rPr>
          <w:rFonts w:cs="Arial"/>
          <w:lang w:val="en-US"/>
        </w:rPr>
        <w:t xml:space="preserve">Experience in court representation including </w:t>
      </w:r>
      <w:r w:rsidR="007B7E90">
        <w:rPr>
          <w:rFonts w:cs="Arial"/>
          <w:lang w:val="en-US"/>
        </w:rPr>
        <w:t xml:space="preserve">family violence </w:t>
      </w:r>
      <w:r>
        <w:rPr>
          <w:rFonts w:cs="Arial"/>
          <w:lang w:val="en-US"/>
        </w:rPr>
        <w:t>contested hearings</w:t>
      </w:r>
      <w:r w:rsidR="007B7E90">
        <w:rPr>
          <w:rFonts w:cs="Arial"/>
          <w:lang w:val="en-US"/>
        </w:rPr>
        <w:t xml:space="preserve">, summary crime </w:t>
      </w:r>
    </w:p>
    <w:p w:rsidR="00525B3D" w:rsidRDefault="00525B3D" w:rsidP="00525B3D">
      <w:pPr>
        <w:numPr>
          <w:ilvl w:val="0"/>
          <w:numId w:val="1"/>
        </w:numPr>
        <w:autoSpaceDE w:val="0"/>
        <w:autoSpaceDN w:val="0"/>
        <w:adjustRightInd w:val="0"/>
        <w:spacing w:before="80"/>
        <w:ind w:left="357" w:hanging="357"/>
        <w:jc w:val="both"/>
        <w:rPr>
          <w:rFonts w:cs="Arial"/>
          <w:lang w:val="en-US"/>
        </w:rPr>
      </w:pPr>
      <w:r>
        <w:rPr>
          <w:rFonts w:cs="Arial"/>
          <w:lang w:val="en-US"/>
        </w:rPr>
        <w:t xml:space="preserve">Family Violence Duty lawyer experience will be looked upon favourably.  </w:t>
      </w:r>
    </w:p>
    <w:p w:rsidR="00433DAC" w:rsidRDefault="00433DAC" w:rsidP="00433DAC">
      <w:pPr>
        <w:numPr>
          <w:ilvl w:val="0"/>
          <w:numId w:val="1"/>
        </w:numPr>
        <w:autoSpaceDE w:val="0"/>
        <w:autoSpaceDN w:val="0"/>
        <w:adjustRightInd w:val="0"/>
        <w:spacing w:before="80"/>
        <w:ind w:left="357" w:hanging="357"/>
        <w:jc w:val="both"/>
        <w:rPr>
          <w:rFonts w:cs="Arial"/>
          <w:lang w:val="en-US"/>
        </w:rPr>
      </w:pPr>
      <w:r w:rsidRPr="00AB333F">
        <w:rPr>
          <w:rFonts w:cs="Arial"/>
          <w:lang w:val="en-US"/>
        </w:rPr>
        <w:t xml:space="preserve">Highly developed advocacy skills  </w:t>
      </w:r>
    </w:p>
    <w:p w:rsidR="0072710F" w:rsidRPr="00AB333F" w:rsidRDefault="0072710F" w:rsidP="00433DAC">
      <w:pPr>
        <w:numPr>
          <w:ilvl w:val="0"/>
          <w:numId w:val="1"/>
        </w:numPr>
        <w:autoSpaceDE w:val="0"/>
        <w:autoSpaceDN w:val="0"/>
        <w:adjustRightInd w:val="0"/>
        <w:spacing w:before="80"/>
        <w:ind w:left="357" w:hanging="357"/>
        <w:jc w:val="both"/>
        <w:rPr>
          <w:rFonts w:cs="Arial"/>
          <w:lang w:val="en-US"/>
        </w:rPr>
      </w:pPr>
      <w:r>
        <w:rPr>
          <w:rFonts w:cs="Arial"/>
          <w:lang w:val="en-US"/>
        </w:rPr>
        <w:lastRenderedPageBreak/>
        <w:t>Experience in family violence with an understanding of the challenges impacting vulnerable community members when accessing the family violence and family law systems.</w:t>
      </w:r>
    </w:p>
    <w:p w:rsidR="00433DAC" w:rsidRPr="00AB333F" w:rsidRDefault="00433DAC" w:rsidP="00433DAC">
      <w:pPr>
        <w:numPr>
          <w:ilvl w:val="0"/>
          <w:numId w:val="1"/>
        </w:numPr>
        <w:autoSpaceDE w:val="0"/>
        <w:autoSpaceDN w:val="0"/>
        <w:adjustRightInd w:val="0"/>
        <w:spacing w:before="80"/>
        <w:ind w:left="357" w:hanging="357"/>
        <w:jc w:val="both"/>
        <w:rPr>
          <w:rFonts w:cs="Arial"/>
          <w:lang w:val="en-US"/>
        </w:rPr>
      </w:pPr>
      <w:r w:rsidRPr="00AB333F">
        <w:rPr>
          <w:rFonts w:cs="Arial"/>
          <w:lang w:val="en-US"/>
        </w:rPr>
        <w:t xml:space="preserve">Demonstrated knowledge of and commitment to social justice principles, understanding of the legal assistance sector and a commitment to PCLC‘s vision and values. </w:t>
      </w:r>
    </w:p>
    <w:p w:rsidR="00433DAC" w:rsidRPr="00AB333F" w:rsidRDefault="00433DAC" w:rsidP="00433DAC">
      <w:pPr>
        <w:pStyle w:val="NoSpacing"/>
        <w:numPr>
          <w:ilvl w:val="0"/>
          <w:numId w:val="1"/>
        </w:numPr>
        <w:rPr>
          <w:rFonts w:ascii="Arial" w:hAnsi="Arial" w:cs="Arial"/>
        </w:rPr>
      </w:pPr>
      <w:r w:rsidRPr="00AB333F">
        <w:rPr>
          <w:rFonts w:ascii="Arial" w:hAnsi="Arial" w:cs="Arial"/>
        </w:rPr>
        <w:t>Experience in, or demonstrated capacity to undertake, direct legal service delivery, including provision of information, advice and referral services, negotiation and advocacy on behalf of clients, representation of clients in courts and other legal settings.</w:t>
      </w:r>
    </w:p>
    <w:p w:rsidR="00433DAC" w:rsidRPr="00C52497" w:rsidRDefault="00433DAC" w:rsidP="00C52497">
      <w:pPr>
        <w:pStyle w:val="NoSpacing"/>
        <w:numPr>
          <w:ilvl w:val="0"/>
          <w:numId w:val="1"/>
        </w:numPr>
        <w:rPr>
          <w:rFonts w:ascii="Arial" w:hAnsi="Arial" w:cs="Arial"/>
        </w:rPr>
      </w:pPr>
      <w:r w:rsidRPr="00AB333F">
        <w:rPr>
          <w:rFonts w:ascii="Arial" w:hAnsi="Arial" w:cs="Arial"/>
        </w:rPr>
        <w:t xml:space="preserve">Excellent verbal and written communication skills </w:t>
      </w:r>
    </w:p>
    <w:p w:rsidR="003F4B01" w:rsidRDefault="00433DAC" w:rsidP="00433DAC">
      <w:pPr>
        <w:pStyle w:val="NoSpacing"/>
        <w:numPr>
          <w:ilvl w:val="0"/>
          <w:numId w:val="1"/>
        </w:numPr>
        <w:rPr>
          <w:rFonts w:ascii="Arial" w:hAnsi="Arial" w:cs="Arial"/>
        </w:rPr>
      </w:pPr>
      <w:r w:rsidRPr="00AB333F">
        <w:rPr>
          <w:rFonts w:ascii="Arial" w:hAnsi="Arial" w:cs="Arial"/>
        </w:rPr>
        <w:t>Demonstrated knowledge of</w:t>
      </w:r>
      <w:r w:rsidR="003F4B01">
        <w:rPr>
          <w:rFonts w:ascii="Arial" w:hAnsi="Arial" w:cs="Arial"/>
        </w:rPr>
        <w:t xml:space="preserve"> the</w:t>
      </w:r>
      <w:r w:rsidRPr="00AB333F">
        <w:rPr>
          <w:rFonts w:ascii="Arial" w:hAnsi="Arial" w:cs="Arial"/>
        </w:rPr>
        <w:t xml:space="preserve"> law and legal system, relevant legislation and procedures and relevant current issues</w:t>
      </w:r>
      <w:r>
        <w:rPr>
          <w:rFonts w:ascii="Arial" w:hAnsi="Arial" w:cs="Arial"/>
        </w:rPr>
        <w:t xml:space="preserve"> relating to </w:t>
      </w:r>
      <w:r w:rsidR="003F4B01">
        <w:rPr>
          <w:rFonts w:ascii="Arial" w:hAnsi="Arial" w:cs="Arial"/>
        </w:rPr>
        <w:t>residential tenancies.</w:t>
      </w:r>
    </w:p>
    <w:p w:rsidR="00433DAC" w:rsidRPr="003F4B01" w:rsidRDefault="00433DAC" w:rsidP="00433DAC">
      <w:pPr>
        <w:pStyle w:val="NoSpacing"/>
        <w:numPr>
          <w:ilvl w:val="0"/>
          <w:numId w:val="1"/>
        </w:numPr>
        <w:rPr>
          <w:rFonts w:ascii="Arial" w:hAnsi="Arial" w:cs="Arial"/>
        </w:rPr>
      </w:pPr>
      <w:r w:rsidRPr="003F4B01">
        <w:rPr>
          <w:rFonts w:ascii="Arial" w:hAnsi="Arial" w:cs="Arial"/>
        </w:rPr>
        <w:t>Excellent interpersonal skills.</w:t>
      </w:r>
    </w:p>
    <w:p w:rsidR="00433DAC" w:rsidRPr="00C52497" w:rsidRDefault="00433DAC" w:rsidP="00433DAC">
      <w:pPr>
        <w:pStyle w:val="NoSpacing"/>
        <w:numPr>
          <w:ilvl w:val="0"/>
          <w:numId w:val="1"/>
        </w:numPr>
        <w:rPr>
          <w:rFonts w:ascii="Arial" w:hAnsi="Arial" w:cs="Arial"/>
        </w:rPr>
      </w:pPr>
      <w:r w:rsidRPr="00AB333F">
        <w:rPr>
          <w:rFonts w:ascii="Arial" w:hAnsi="Arial" w:cs="Arial"/>
        </w:rPr>
        <w:t>Well developed organisational skills and ability to work with minimal supervision.</w:t>
      </w:r>
    </w:p>
    <w:p w:rsidR="00433DAC" w:rsidRPr="00C52497" w:rsidRDefault="00433DAC" w:rsidP="00433DAC">
      <w:pPr>
        <w:pStyle w:val="NoSpacing"/>
        <w:numPr>
          <w:ilvl w:val="0"/>
          <w:numId w:val="1"/>
        </w:numPr>
        <w:rPr>
          <w:rFonts w:ascii="Arial" w:hAnsi="Arial" w:cs="Arial"/>
        </w:rPr>
      </w:pPr>
      <w:r w:rsidRPr="00AB333F">
        <w:rPr>
          <w:rFonts w:ascii="Arial" w:hAnsi="Arial" w:cs="Arial"/>
        </w:rPr>
        <w:t>Competency in using word processing and electronic communication programs.</w:t>
      </w:r>
    </w:p>
    <w:p w:rsidR="00433DAC" w:rsidRPr="00AB333F" w:rsidRDefault="00433DAC" w:rsidP="00433DAC">
      <w:pPr>
        <w:pStyle w:val="NoSpacing"/>
        <w:numPr>
          <w:ilvl w:val="0"/>
          <w:numId w:val="1"/>
        </w:numPr>
        <w:rPr>
          <w:rFonts w:ascii="Arial" w:hAnsi="Arial" w:cs="Arial"/>
        </w:rPr>
      </w:pPr>
      <w:r w:rsidRPr="00AB333F">
        <w:rPr>
          <w:rFonts w:ascii="Arial" w:hAnsi="Arial" w:cs="Arial"/>
        </w:rPr>
        <w:t>Holds a current Victorian Driver’s Licence and has access to a reliable and comprehensively insured vehicle.</w:t>
      </w:r>
    </w:p>
    <w:p w:rsidR="00433DAC" w:rsidRDefault="00433DAC" w:rsidP="00433DAC">
      <w:pPr>
        <w:pStyle w:val="NoSpacing"/>
        <w:rPr>
          <w:rFonts w:ascii="Arial" w:hAnsi="Arial" w:cs="Arial"/>
        </w:rPr>
      </w:pPr>
    </w:p>
    <w:p w:rsidR="00C52497" w:rsidRDefault="00C52497" w:rsidP="00433DAC">
      <w:pPr>
        <w:pStyle w:val="NoSpacing"/>
        <w:rPr>
          <w:rFonts w:ascii="Arial" w:hAnsi="Arial" w:cs="Arial"/>
        </w:rPr>
      </w:pPr>
    </w:p>
    <w:tbl>
      <w:tblPr>
        <w:tblStyle w:val="TableGrid"/>
        <w:tblW w:w="0" w:type="auto"/>
        <w:shd w:val="clear" w:color="auto" w:fill="DAEEF3" w:themeFill="accent5" w:themeFillTint="33"/>
        <w:tblLook w:val="04A0" w:firstRow="1" w:lastRow="0" w:firstColumn="1" w:lastColumn="0" w:noHBand="0" w:noVBand="1"/>
      </w:tblPr>
      <w:tblGrid>
        <w:gridCol w:w="8290"/>
      </w:tblGrid>
      <w:tr w:rsidR="00C52497" w:rsidTr="00410FB7">
        <w:tc>
          <w:tcPr>
            <w:tcW w:w="8516" w:type="dxa"/>
            <w:shd w:val="clear" w:color="auto" w:fill="B8CCE4" w:themeFill="accent1" w:themeFillTint="66"/>
          </w:tcPr>
          <w:p w:rsidR="00C52497" w:rsidRPr="00C52497" w:rsidRDefault="00C52497" w:rsidP="00433DAC">
            <w:pPr>
              <w:pStyle w:val="NoSpacing"/>
              <w:rPr>
                <w:rFonts w:ascii="Arial" w:hAnsi="Arial" w:cs="Arial"/>
                <w:b/>
                <w:smallCaps/>
                <w:sz w:val="32"/>
                <w:szCs w:val="32"/>
              </w:rPr>
            </w:pPr>
            <w:r w:rsidRPr="00C52497">
              <w:rPr>
                <w:rFonts w:ascii="Arial" w:hAnsi="Arial" w:cs="Arial"/>
                <w:b/>
                <w:smallCaps/>
                <w:color w:val="31849B" w:themeColor="accent5" w:themeShade="BF"/>
                <w:sz w:val="32"/>
                <w:szCs w:val="32"/>
              </w:rPr>
              <w:t>Other Relevant Information</w:t>
            </w:r>
          </w:p>
        </w:tc>
      </w:tr>
    </w:tbl>
    <w:p w:rsidR="00433DAC" w:rsidRDefault="00433DAC" w:rsidP="00433DAC">
      <w:pPr>
        <w:jc w:val="both"/>
      </w:pPr>
    </w:p>
    <w:p w:rsidR="00433DAC" w:rsidRDefault="00433DAC" w:rsidP="00433DAC">
      <w:pPr>
        <w:numPr>
          <w:ilvl w:val="0"/>
          <w:numId w:val="1"/>
        </w:numPr>
        <w:autoSpaceDE w:val="0"/>
        <w:autoSpaceDN w:val="0"/>
        <w:adjustRightInd w:val="0"/>
        <w:ind w:left="426" w:hanging="426"/>
        <w:jc w:val="both"/>
        <w:rPr>
          <w:rFonts w:ascii="CDFGII+Arial" w:hAnsi="CDFGII+Arial" w:cs="CDFGII+Arial"/>
          <w:color w:val="000000"/>
          <w:lang w:val="en-US"/>
        </w:rPr>
      </w:pPr>
      <w:r>
        <w:rPr>
          <w:rFonts w:ascii="CDFGII+Arial" w:hAnsi="CDFGII+Arial" w:cs="CDFGII+Arial"/>
          <w:color w:val="000000"/>
          <w:lang w:val="en-US"/>
        </w:rPr>
        <w:t>You will be required to travel to PCLC branches, PCLC service locations and Courts and Tribunals.  Access to a reliable and comprehensively insured motor vehicle is a requirement.</w:t>
      </w:r>
      <w:r w:rsidRPr="00081F22">
        <w:rPr>
          <w:rFonts w:ascii="CDFGII+Arial" w:hAnsi="CDFGII+Arial" w:cs="CDFGII+Arial"/>
          <w:color w:val="000000"/>
          <w:lang w:val="en-US"/>
        </w:rPr>
        <w:t xml:space="preserve"> </w:t>
      </w:r>
    </w:p>
    <w:p w:rsidR="00433DAC" w:rsidRPr="00625FFA" w:rsidRDefault="00433DAC" w:rsidP="00433DAC">
      <w:pPr>
        <w:numPr>
          <w:ilvl w:val="0"/>
          <w:numId w:val="2"/>
        </w:numPr>
        <w:tabs>
          <w:tab w:val="left" w:leader="underscore" w:pos="8222"/>
        </w:tabs>
        <w:spacing w:before="60" w:after="60"/>
        <w:ind w:left="426" w:hanging="426"/>
        <w:jc w:val="both"/>
        <w:rPr>
          <w:rFonts w:cs="Arial"/>
        </w:rPr>
      </w:pPr>
      <w:r w:rsidRPr="00625FFA">
        <w:rPr>
          <w:rFonts w:cs="Arial"/>
        </w:rPr>
        <w:t xml:space="preserve">Ensure compliance with all Privacy Legislation and treat all information of a personal and sensitive nature concerning the business of </w:t>
      </w:r>
      <w:r>
        <w:rPr>
          <w:rFonts w:cs="Arial"/>
        </w:rPr>
        <w:t>PCLC and its clients</w:t>
      </w:r>
      <w:r w:rsidRPr="00625FFA">
        <w:rPr>
          <w:rFonts w:cs="Arial"/>
        </w:rPr>
        <w:t xml:space="preserve">, in a professional and confidential manner in accordance with </w:t>
      </w:r>
      <w:r>
        <w:rPr>
          <w:rFonts w:cs="Arial"/>
        </w:rPr>
        <w:t>PCLC’</w:t>
      </w:r>
      <w:r w:rsidRPr="00625FFA">
        <w:rPr>
          <w:rFonts w:cs="Arial"/>
        </w:rPr>
        <w:t>s information and records management procedures.</w:t>
      </w:r>
    </w:p>
    <w:p w:rsidR="00433DAC" w:rsidRPr="00625FFA" w:rsidRDefault="00433DAC" w:rsidP="00433DAC">
      <w:pPr>
        <w:numPr>
          <w:ilvl w:val="0"/>
          <w:numId w:val="2"/>
        </w:numPr>
        <w:tabs>
          <w:tab w:val="left" w:leader="underscore" w:pos="8222"/>
        </w:tabs>
        <w:spacing w:before="60" w:after="60"/>
        <w:ind w:left="426" w:hanging="426"/>
        <w:jc w:val="both"/>
        <w:rPr>
          <w:rFonts w:cs="Arial"/>
        </w:rPr>
      </w:pPr>
      <w:r>
        <w:rPr>
          <w:rFonts w:cs="Arial"/>
        </w:rPr>
        <w:t>Ensure that all PCLC</w:t>
      </w:r>
      <w:r w:rsidRPr="00625FFA">
        <w:rPr>
          <w:rFonts w:cs="Arial"/>
        </w:rPr>
        <w:t xml:space="preserve"> policies, procedures</w:t>
      </w:r>
      <w:r>
        <w:rPr>
          <w:rFonts w:cs="Arial"/>
        </w:rPr>
        <w:t>, systems</w:t>
      </w:r>
      <w:r w:rsidRPr="00625FFA">
        <w:rPr>
          <w:rFonts w:cs="Arial"/>
        </w:rPr>
        <w:t xml:space="preserve"> and work practices are implemented and adhered to, in particular, in human resour</w:t>
      </w:r>
      <w:r>
        <w:rPr>
          <w:rFonts w:cs="Arial"/>
        </w:rPr>
        <w:t xml:space="preserve">ce management, risk management </w:t>
      </w:r>
      <w:r w:rsidRPr="00625FFA">
        <w:rPr>
          <w:rFonts w:cs="Arial"/>
        </w:rPr>
        <w:t>and customer service.</w:t>
      </w:r>
    </w:p>
    <w:p w:rsidR="00433DAC" w:rsidRPr="00466D48" w:rsidRDefault="00433DAC" w:rsidP="00433DAC">
      <w:pPr>
        <w:numPr>
          <w:ilvl w:val="0"/>
          <w:numId w:val="1"/>
        </w:numPr>
        <w:autoSpaceDE w:val="0"/>
        <w:autoSpaceDN w:val="0"/>
        <w:adjustRightInd w:val="0"/>
        <w:spacing w:before="80"/>
        <w:ind w:left="426" w:hanging="426"/>
      </w:pPr>
      <w:r w:rsidRPr="00652F82">
        <w:rPr>
          <w:rFonts w:cs="Arial"/>
        </w:rPr>
        <w:t>Act in a professional manner at all times while performing duties fo</w:t>
      </w:r>
      <w:r>
        <w:rPr>
          <w:rFonts w:cs="Arial"/>
        </w:rPr>
        <w:t>r</w:t>
      </w:r>
      <w:r w:rsidRPr="00266B18">
        <w:rPr>
          <w:rFonts w:cs="Arial"/>
        </w:rPr>
        <w:t xml:space="preserve"> </w:t>
      </w:r>
      <w:r w:rsidRPr="00652F82">
        <w:rPr>
          <w:rFonts w:cs="Arial"/>
        </w:rPr>
        <w:t>and/or rep</w:t>
      </w:r>
      <w:r>
        <w:rPr>
          <w:rFonts w:cs="Arial"/>
        </w:rPr>
        <w:t>resenting PCLC</w:t>
      </w:r>
      <w:r w:rsidRPr="00652F82">
        <w:rPr>
          <w:rFonts w:cs="Arial"/>
        </w:rPr>
        <w:t xml:space="preserve"> in </w:t>
      </w:r>
      <w:r>
        <w:rPr>
          <w:rFonts w:cs="Arial"/>
        </w:rPr>
        <w:t>line</w:t>
      </w:r>
      <w:r w:rsidRPr="00652F82">
        <w:rPr>
          <w:rFonts w:cs="Arial"/>
        </w:rPr>
        <w:t xml:space="preserve"> with the Staff Code of Conduct</w:t>
      </w:r>
      <w:r>
        <w:rPr>
          <w:rFonts w:cs="Arial"/>
        </w:rPr>
        <w:t>.</w:t>
      </w:r>
    </w:p>
    <w:p w:rsidR="00433DAC" w:rsidRDefault="00433DAC" w:rsidP="00433DAC">
      <w:pPr>
        <w:numPr>
          <w:ilvl w:val="0"/>
          <w:numId w:val="1"/>
        </w:numPr>
        <w:autoSpaceDE w:val="0"/>
        <w:autoSpaceDN w:val="0"/>
        <w:adjustRightInd w:val="0"/>
        <w:spacing w:before="80"/>
        <w:ind w:left="426" w:hanging="426"/>
      </w:pPr>
      <w:r>
        <w:rPr>
          <w:rFonts w:cs="Arial"/>
        </w:rPr>
        <w:t>An attractive remuneration package will be negotiated with the successful applicant.  Salary packaging is available.</w:t>
      </w:r>
    </w:p>
    <w:p w:rsidR="00433DAC" w:rsidRDefault="00433DAC" w:rsidP="00433DAC">
      <w:pPr>
        <w:jc w:val="both"/>
      </w:pPr>
    </w:p>
    <w:p w:rsidR="00C52497" w:rsidRDefault="00C52497" w:rsidP="00433DAC">
      <w:pPr>
        <w:jc w:val="both"/>
      </w:pPr>
    </w:p>
    <w:tbl>
      <w:tblPr>
        <w:tblStyle w:val="TableGrid"/>
        <w:tblW w:w="0" w:type="auto"/>
        <w:shd w:val="clear" w:color="auto" w:fill="DAEEF3" w:themeFill="accent5" w:themeFillTint="33"/>
        <w:tblLook w:val="04A0" w:firstRow="1" w:lastRow="0" w:firstColumn="1" w:lastColumn="0" w:noHBand="0" w:noVBand="1"/>
      </w:tblPr>
      <w:tblGrid>
        <w:gridCol w:w="8290"/>
      </w:tblGrid>
      <w:tr w:rsidR="00C52497" w:rsidTr="00410FB7">
        <w:tc>
          <w:tcPr>
            <w:tcW w:w="8516" w:type="dxa"/>
            <w:shd w:val="clear" w:color="auto" w:fill="B8CCE4" w:themeFill="accent1" w:themeFillTint="66"/>
          </w:tcPr>
          <w:p w:rsidR="00C52497" w:rsidRPr="00C52497" w:rsidRDefault="00C52497" w:rsidP="00433DAC">
            <w:pPr>
              <w:jc w:val="both"/>
              <w:rPr>
                <w:b/>
                <w:smallCaps/>
                <w:sz w:val="32"/>
                <w:szCs w:val="32"/>
              </w:rPr>
            </w:pPr>
            <w:r w:rsidRPr="00C52497">
              <w:rPr>
                <w:b/>
                <w:smallCaps/>
                <w:color w:val="31849B" w:themeColor="accent5" w:themeShade="BF"/>
                <w:sz w:val="32"/>
                <w:szCs w:val="32"/>
              </w:rPr>
              <w:t>Organisational Context</w:t>
            </w:r>
          </w:p>
        </w:tc>
      </w:tr>
    </w:tbl>
    <w:p w:rsidR="00433DAC" w:rsidRDefault="00433DAC" w:rsidP="00433DAC">
      <w:pPr>
        <w:widowControl w:val="0"/>
        <w:autoSpaceDE w:val="0"/>
        <w:autoSpaceDN w:val="0"/>
        <w:adjustRightInd w:val="0"/>
        <w:rPr>
          <w:rFonts w:cs="Arial"/>
          <w:lang w:val="en-US"/>
        </w:rPr>
      </w:pPr>
    </w:p>
    <w:p w:rsidR="00433DAC" w:rsidRPr="00A91EF7" w:rsidRDefault="00433DAC" w:rsidP="00433DAC">
      <w:pPr>
        <w:widowControl w:val="0"/>
        <w:autoSpaceDE w:val="0"/>
        <w:autoSpaceDN w:val="0"/>
        <w:adjustRightInd w:val="0"/>
        <w:jc w:val="both"/>
        <w:rPr>
          <w:rFonts w:cs="Arial"/>
          <w:lang w:val="en-US"/>
        </w:rPr>
      </w:pPr>
      <w:r w:rsidRPr="00A91EF7">
        <w:rPr>
          <w:rFonts w:cs="Arial"/>
          <w:lang w:val="en-US"/>
        </w:rPr>
        <w:t xml:space="preserve">Peninsula Community Legal Centre (PCLC) is one of </w:t>
      </w:r>
      <w:r w:rsidR="00E97728">
        <w:rPr>
          <w:rFonts w:cs="Arial"/>
          <w:lang w:val="en-US"/>
        </w:rPr>
        <w:t>49</w:t>
      </w:r>
      <w:r w:rsidRPr="00A91EF7">
        <w:rPr>
          <w:rFonts w:cs="Arial"/>
          <w:lang w:val="en-US"/>
        </w:rPr>
        <w:t xml:space="preserve"> community legal centres in Victoria.  It operates across six local government area in the south east of Melbourne – Cardinia, Casey, Frankston, Glen Eira, Kingston and Mornington Peninsula.  PCLC is headquartered in Frankston and has branch offices in Bentleigh, Cranbourne</w:t>
      </w:r>
      <w:r>
        <w:rPr>
          <w:rFonts w:cs="Arial"/>
          <w:lang w:val="en-US"/>
        </w:rPr>
        <w:t>,</w:t>
      </w:r>
      <w:r w:rsidRPr="00A91EF7">
        <w:rPr>
          <w:rFonts w:cs="Arial"/>
          <w:lang w:val="en-US"/>
        </w:rPr>
        <w:t xml:space="preserve"> </w:t>
      </w:r>
      <w:r w:rsidR="00DC23F4">
        <w:rPr>
          <w:rFonts w:cs="Arial"/>
          <w:lang w:val="en-US"/>
        </w:rPr>
        <w:t>Frankston North</w:t>
      </w:r>
      <w:r w:rsidRPr="00A91EF7">
        <w:rPr>
          <w:rFonts w:cs="Arial"/>
          <w:lang w:val="en-US"/>
        </w:rPr>
        <w:t xml:space="preserve"> and Rosebud.</w:t>
      </w:r>
    </w:p>
    <w:p w:rsidR="00433DAC" w:rsidRPr="00A91EF7" w:rsidRDefault="00433DAC" w:rsidP="00433DAC">
      <w:pPr>
        <w:widowControl w:val="0"/>
        <w:autoSpaceDE w:val="0"/>
        <w:autoSpaceDN w:val="0"/>
        <w:adjustRightInd w:val="0"/>
        <w:jc w:val="both"/>
        <w:rPr>
          <w:rFonts w:cs="Arial"/>
          <w:lang w:val="en-US"/>
        </w:rPr>
      </w:pPr>
    </w:p>
    <w:p w:rsidR="00433DAC" w:rsidRDefault="00433DAC" w:rsidP="00433DAC">
      <w:pPr>
        <w:widowControl w:val="0"/>
        <w:autoSpaceDE w:val="0"/>
        <w:autoSpaceDN w:val="0"/>
        <w:adjustRightInd w:val="0"/>
        <w:jc w:val="both"/>
        <w:rPr>
          <w:rFonts w:cs="Arial"/>
          <w:lang w:val="en-US"/>
        </w:rPr>
      </w:pPr>
      <w:r>
        <w:rPr>
          <w:rFonts w:cs="Arial"/>
          <w:lang w:val="en-US"/>
        </w:rPr>
        <w:t xml:space="preserve">The Centre works to empower and support disadvantaged community members of the South Eastern and Westernport region to use the law and legal system to protect and advance their rights and broaden their awareness of their responsibilities.  The Centre offers general legal advice and casework services, specialist family law, tenancy, </w:t>
      </w:r>
      <w:r w:rsidR="00E351AD">
        <w:rPr>
          <w:rFonts w:cs="Arial"/>
          <w:lang w:val="en-US"/>
        </w:rPr>
        <w:t>infringement</w:t>
      </w:r>
      <w:r>
        <w:rPr>
          <w:rFonts w:cs="Arial"/>
          <w:lang w:val="en-US"/>
        </w:rPr>
        <w:t xml:space="preserve"> law and family violence programs, and is active in community legal </w:t>
      </w:r>
      <w:r>
        <w:rPr>
          <w:rFonts w:cs="Arial"/>
          <w:lang w:val="en-US"/>
        </w:rPr>
        <w:lastRenderedPageBreak/>
        <w:t>education and law reform work.</w:t>
      </w:r>
    </w:p>
    <w:p w:rsidR="00433DAC" w:rsidRDefault="00433DAC" w:rsidP="00433DAC">
      <w:pPr>
        <w:widowControl w:val="0"/>
        <w:autoSpaceDE w:val="0"/>
        <w:autoSpaceDN w:val="0"/>
        <w:adjustRightInd w:val="0"/>
        <w:jc w:val="both"/>
        <w:rPr>
          <w:rFonts w:cs="Arial"/>
          <w:lang w:val="en-US"/>
        </w:rPr>
      </w:pPr>
    </w:p>
    <w:p w:rsidR="00AB0948" w:rsidRDefault="00AB0948" w:rsidP="0079721B">
      <w:pPr>
        <w:widowControl w:val="0"/>
        <w:autoSpaceDE w:val="0"/>
        <w:autoSpaceDN w:val="0"/>
        <w:adjustRightInd w:val="0"/>
        <w:jc w:val="both"/>
        <w:rPr>
          <w:rFonts w:cs="Arial"/>
          <w:lang w:val="en-US"/>
        </w:rPr>
      </w:pPr>
    </w:p>
    <w:tbl>
      <w:tblPr>
        <w:tblStyle w:val="TableGrid"/>
        <w:tblW w:w="0" w:type="auto"/>
        <w:shd w:val="clear" w:color="auto" w:fill="DAEEF3" w:themeFill="accent5" w:themeFillTint="33"/>
        <w:tblLook w:val="04A0" w:firstRow="1" w:lastRow="0" w:firstColumn="1" w:lastColumn="0" w:noHBand="0" w:noVBand="1"/>
      </w:tblPr>
      <w:tblGrid>
        <w:gridCol w:w="8290"/>
      </w:tblGrid>
      <w:tr w:rsidR="00C52497" w:rsidTr="00410FB7">
        <w:tc>
          <w:tcPr>
            <w:tcW w:w="8516" w:type="dxa"/>
            <w:shd w:val="clear" w:color="auto" w:fill="B8CCE4" w:themeFill="accent1" w:themeFillTint="66"/>
          </w:tcPr>
          <w:p w:rsidR="00C52497" w:rsidRPr="00C52497" w:rsidRDefault="00C52497" w:rsidP="00433DAC">
            <w:pPr>
              <w:widowControl w:val="0"/>
              <w:autoSpaceDE w:val="0"/>
              <w:autoSpaceDN w:val="0"/>
              <w:adjustRightInd w:val="0"/>
              <w:jc w:val="both"/>
              <w:rPr>
                <w:rFonts w:cs="Arial"/>
                <w:b/>
                <w:smallCaps/>
                <w:sz w:val="32"/>
                <w:szCs w:val="32"/>
                <w:lang w:val="en-US"/>
              </w:rPr>
            </w:pPr>
            <w:r w:rsidRPr="00C52497">
              <w:rPr>
                <w:rFonts w:cs="Arial"/>
                <w:b/>
                <w:smallCaps/>
                <w:color w:val="31849B" w:themeColor="accent5" w:themeShade="BF"/>
                <w:sz w:val="32"/>
                <w:szCs w:val="32"/>
                <w:lang w:val="en-US"/>
              </w:rPr>
              <w:t>PCLC Vision &amp; Values</w:t>
            </w:r>
          </w:p>
        </w:tc>
      </w:tr>
    </w:tbl>
    <w:p w:rsidR="00C52497" w:rsidRPr="00A91EF7" w:rsidRDefault="00C52497" w:rsidP="00433DAC">
      <w:pPr>
        <w:widowControl w:val="0"/>
        <w:autoSpaceDE w:val="0"/>
        <w:autoSpaceDN w:val="0"/>
        <w:adjustRightInd w:val="0"/>
        <w:jc w:val="both"/>
        <w:rPr>
          <w:rFonts w:cs="Arial"/>
          <w:lang w:val="en-US"/>
        </w:rPr>
      </w:pPr>
    </w:p>
    <w:p w:rsidR="00433DAC" w:rsidRPr="00C52497" w:rsidRDefault="00433DAC" w:rsidP="00433DAC">
      <w:pPr>
        <w:rPr>
          <w:rFonts w:eastAsia="Cambria"/>
          <w:b/>
          <w:bCs/>
          <w:color w:val="31849B" w:themeColor="accent5" w:themeShade="BF"/>
          <w:kern w:val="32"/>
          <w:sz w:val="24"/>
          <w:szCs w:val="24"/>
        </w:rPr>
      </w:pPr>
      <w:r w:rsidRPr="00C52497">
        <w:rPr>
          <w:rFonts w:eastAsia="Cambria"/>
          <w:b/>
          <w:bCs/>
          <w:color w:val="31849B" w:themeColor="accent5" w:themeShade="BF"/>
          <w:kern w:val="32"/>
          <w:sz w:val="24"/>
          <w:szCs w:val="24"/>
        </w:rPr>
        <w:t>Vision</w:t>
      </w:r>
    </w:p>
    <w:p w:rsidR="00433DAC" w:rsidRDefault="00E97728" w:rsidP="00433DAC">
      <w:pPr>
        <w:jc w:val="both"/>
      </w:pPr>
      <w:r>
        <w:t xml:space="preserve">Delivering justice for our community </w:t>
      </w:r>
    </w:p>
    <w:p w:rsidR="00E97728" w:rsidRDefault="00E97728" w:rsidP="00433DAC">
      <w:pPr>
        <w:jc w:val="both"/>
      </w:pPr>
      <w:r>
        <w:t xml:space="preserve">Promoting and protecting human rights and equality before the law </w:t>
      </w:r>
    </w:p>
    <w:p w:rsidR="00524F32" w:rsidRDefault="00524F32" w:rsidP="00433DAC">
      <w:pPr>
        <w:jc w:val="both"/>
      </w:pPr>
    </w:p>
    <w:p w:rsidR="00433DAC" w:rsidRPr="00C52497" w:rsidRDefault="00433DAC" w:rsidP="00433DAC">
      <w:pPr>
        <w:jc w:val="both"/>
        <w:rPr>
          <w:rFonts w:eastAsia="Cambria"/>
          <w:b/>
          <w:bCs/>
          <w:color w:val="31849B" w:themeColor="accent5" w:themeShade="BF"/>
          <w:kern w:val="32"/>
          <w:sz w:val="24"/>
          <w:szCs w:val="24"/>
        </w:rPr>
      </w:pPr>
      <w:r w:rsidRPr="00C52497">
        <w:rPr>
          <w:rFonts w:eastAsia="Cambria"/>
          <w:b/>
          <w:bCs/>
          <w:color w:val="31849B" w:themeColor="accent5" w:themeShade="BF"/>
          <w:kern w:val="32"/>
          <w:sz w:val="24"/>
          <w:szCs w:val="24"/>
        </w:rPr>
        <w:t>Values</w:t>
      </w:r>
    </w:p>
    <w:tbl>
      <w:tblPr>
        <w:tblW w:w="8516" w:type="dxa"/>
        <w:tblInd w:w="720" w:type="dxa"/>
        <w:tblLook w:val="04A0" w:firstRow="1" w:lastRow="0" w:firstColumn="1" w:lastColumn="0" w:noHBand="0" w:noVBand="1"/>
      </w:tblPr>
      <w:tblGrid>
        <w:gridCol w:w="2140"/>
        <w:gridCol w:w="2715"/>
        <w:gridCol w:w="3661"/>
      </w:tblGrid>
      <w:tr w:rsidR="00433DAC" w:rsidTr="00410FB7">
        <w:tc>
          <w:tcPr>
            <w:tcW w:w="2140" w:type="dxa"/>
            <w:shd w:val="clear" w:color="auto" w:fill="DBE5F1" w:themeFill="accent1" w:themeFillTint="33"/>
          </w:tcPr>
          <w:p w:rsidR="00433DAC" w:rsidRPr="00410FB7" w:rsidRDefault="00433DAC" w:rsidP="00433DAC">
            <w:pPr>
              <w:numPr>
                <w:ilvl w:val="0"/>
                <w:numId w:val="4"/>
              </w:numPr>
              <w:ind w:left="714" w:hanging="357"/>
              <w:jc w:val="both"/>
              <w:rPr>
                <w:b/>
              </w:rPr>
            </w:pPr>
            <w:r w:rsidRPr="00410FB7">
              <w:rPr>
                <w:b/>
              </w:rPr>
              <w:t>Fairness</w:t>
            </w:r>
          </w:p>
        </w:tc>
        <w:tc>
          <w:tcPr>
            <w:tcW w:w="2715" w:type="dxa"/>
            <w:shd w:val="clear" w:color="auto" w:fill="DBE5F1" w:themeFill="accent1" w:themeFillTint="33"/>
          </w:tcPr>
          <w:p w:rsidR="00433DAC" w:rsidRPr="00410FB7" w:rsidRDefault="00433DAC" w:rsidP="00433DAC">
            <w:pPr>
              <w:numPr>
                <w:ilvl w:val="0"/>
                <w:numId w:val="4"/>
              </w:numPr>
              <w:ind w:left="714" w:hanging="357"/>
              <w:jc w:val="both"/>
              <w:rPr>
                <w:b/>
              </w:rPr>
            </w:pPr>
            <w:r w:rsidRPr="00410FB7">
              <w:rPr>
                <w:b/>
              </w:rPr>
              <w:t>Empowerment</w:t>
            </w:r>
          </w:p>
        </w:tc>
        <w:tc>
          <w:tcPr>
            <w:tcW w:w="3661" w:type="dxa"/>
            <w:shd w:val="clear" w:color="auto" w:fill="DBE5F1" w:themeFill="accent1" w:themeFillTint="33"/>
          </w:tcPr>
          <w:p w:rsidR="00433DAC" w:rsidRPr="00410FB7" w:rsidRDefault="00433DAC" w:rsidP="00433DAC">
            <w:pPr>
              <w:numPr>
                <w:ilvl w:val="0"/>
                <w:numId w:val="4"/>
              </w:numPr>
              <w:ind w:left="714" w:hanging="357"/>
              <w:jc w:val="both"/>
              <w:rPr>
                <w:b/>
              </w:rPr>
            </w:pPr>
            <w:r w:rsidRPr="00410FB7">
              <w:rPr>
                <w:b/>
              </w:rPr>
              <w:t>Accessibility</w:t>
            </w:r>
          </w:p>
        </w:tc>
      </w:tr>
      <w:tr w:rsidR="00433DAC" w:rsidTr="00410FB7">
        <w:tc>
          <w:tcPr>
            <w:tcW w:w="2140" w:type="dxa"/>
            <w:shd w:val="clear" w:color="auto" w:fill="DBE5F1" w:themeFill="accent1" w:themeFillTint="33"/>
          </w:tcPr>
          <w:p w:rsidR="00433DAC" w:rsidRPr="00410FB7" w:rsidRDefault="00433DAC" w:rsidP="00433DAC">
            <w:pPr>
              <w:numPr>
                <w:ilvl w:val="0"/>
                <w:numId w:val="4"/>
              </w:numPr>
              <w:ind w:left="714" w:hanging="357"/>
              <w:jc w:val="both"/>
              <w:rPr>
                <w:b/>
              </w:rPr>
            </w:pPr>
            <w:r w:rsidRPr="00410FB7">
              <w:rPr>
                <w:b/>
              </w:rPr>
              <w:t>Respect</w:t>
            </w:r>
          </w:p>
          <w:p w:rsidR="00E97728" w:rsidRPr="00410FB7" w:rsidRDefault="00E97728" w:rsidP="00433DAC">
            <w:pPr>
              <w:numPr>
                <w:ilvl w:val="0"/>
                <w:numId w:val="4"/>
              </w:numPr>
              <w:ind w:left="714" w:hanging="357"/>
              <w:jc w:val="both"/>
              <w:rPr>
                <w:b/>
              </w:rPr>
            </w:pPr>
            <w:r w:rsidRPr="00410FB7">
              <w:rPr>
                <w:b/>
              </w:rPr>
              <w:t>Integrity</w:t>
            </w:r>
          </w:p>
        </w:tc>
        <w:tc>
          <w:tcPr>
            <w:tcW w:w="2715" w:type="dxa"/>
            <w:shd w:val="clear" w:color="auto" w:fill="DBE5F1" w:themeFill="accent1" w:themeFillTint="33"/>
          </w:tcPr>
          <w:p w:rsidR="00433DAC" w:rsidRPr="00410FB7" w:rsidRDefault="00433DAC" w:rsidP="00433DAC">
            <w:pPr>
              <w:numPr>
                <w:ilvl w:val="0"/>
                <w:numId w:val="4"/>
              </w:numPr>
              <w:ind w:left="714" w:hanging="357"/>
              <w:jc w:val="both"/>
              <w:rPr>
                <w:b/>
              </w:rPr>
            </w:pPr>
            <w:r w:rsidRPr="00410FB7">
              <w:rPr>
                <w:b/>
              </w:rPr>
              <w:t>Independence</w:t>
            </w:r>
          </w:p>
        </w:tc>
        <w:tc>
          <w:tcPr>
            <w:tcW w:w="3661" w:type="dxa"/>
            <w:shd w:val="clear" w:color="auto" w:fill="DBE5F1" w:themeFill="accent1" w:themeFillTint="33"/>
          </w:tcPr>
          <w:p w:rsidR="00433DAC" w:rsidRPr="00410FB7" w:rsidRDefault="00433DAC" w:rsidP="00433DAC">
            <w:pPr>
              <w:numPr>
                <w:ilvl w:val="0"/>
                <w:numId w:val="4"/>
              </w:numPr>
              <w:ind w:left="714" w:hanging="357"/>
              <w:jc w:val="both"/>
              <w:rPr>
                <w:b/>
              </w:rPr>
            </w:pPr>
            <w:r w:rsidRPr="00410FB7">
              <w:rPr>
                <w:b/>
              </w:rPr>
              <w:t>Quality</w:t>
            </w:r>
          </w:p>
        </w:tc>
      </w:tr>
    </w:tbl>
    <w:p w:rsidR="00524F32" w:rsidRDefault="00524F32" w:rsidP="00433DAC">
      <w:pPr>
        <w:jc w:val="both"/>
        <w:rPr>
          <w:rFonts w:eastAsia="Cambria"/>
          <w:b/>
          <w:bCs/>
          <w:color w:val="31849B" w:themeColor="accent5" w:themeShade="BF"/>
          <w:kern w:val="32"/>
          <w:sz w:val="24"/>
          <w:szCs w:val="24"/>
        </w:rPr>
      </w:pPr>
    </w:p>
    <w:p w:rsidR="00433DAC" w:rsidRPr="00C52497" w:rsidRDefault="00433DAC" w:rsidP="00433DAC">
      <w:pPr>
        <w:jc w:val="both"/>
        <w:rPr>
          <w:rFonts w:eastAsia="Cambria"/>
          <w:b/>
          <w:bCs/>
          <w:color w:val="31849B" w:themeColor="accent5" w:themeShade="BF"/>
          <w:kern w:val="32"/>
          <w:sz w:val="24"/>
          <w:szCs w:val="24"/>
        </w:rPr>
      </w:pPr>
      <w:r w:rsidRPr="00C52497">
        <w:rPr>
          <w:rFonts w:eastAsia="Cambria"/>
          <w:b/>
          <w:bCs/>
          <w:color w:val="31849B" w:themeColor="accent5" w:themeShade="BF"/>
          <w:kern w:val="32"/>
          <w:sz w:val="24"/>
          <w:szCs w:val="24"/>
        </w:rPr>
        <w:t>Mission</w:t>
      </w:r>
    </w:p>
    <w:p w:rsidR="00524F32" w:rsidRPr="000B603F" w:rsidRDefault="00E97728" w:rsidP="00433DAC">
      <w:pPr>
        <w:jc w:val="both"/>
        <w:rPr>
          <w:rFonts w:cs="Arial"/>
        </w:rPr>
      </w:pPr>
      <w:r w:rsidRPr="000B603F">
        <w:rPr>
          <w:rFonts w:cs="Arial"/>
        </w:rPr>
        <w:t>PCLC will …..</w:t>
      </w:r>
    </w:p>
    <w:p w:rsidR="00E97728" w:rsidRPr="000B603F" w:rsidRDefault="00E97728" w:rsidP="00E97728">
      <w:pPr>
        <w:pStyle w:val="ListParagraph"/>
        <w:numPr>
          <w:ilvl w:val="0"/>
          <w:numId w:val="7"/>
        </w:numPr>
        <w:jc w:val="both"/>
        <w:rPr>
          <w:rFonts w:ascii="Arial" w:eastAsia="Cambria" w:hAnsi="Arial" w:cs="Arial"/>
          <w:b/>
          <w:bCs/>
          <w:color w:val="31849B" w:themeColor="accent5" w:themeShade="BF"/>
          <w:kern w:val="32"/>
        </w:rPr>
      </w:pPr>
      <w:r w:rsidRPr="000B603F">
        <w:rPr>
          <w:rFonts w:ascii="Arial" w:eastAsia="Cambria" w:hAnsi="Arial" w:cs="Arial"/>
          <w:bCs/>
          <w:kern w:val="32"/>
        </w:rPr>
        <w:t xml:space="preserve">Empower and support disadvantaged and vulnerable people in our community to address their legal needs </w:t>
      </w:r>
    </w:p>
    <w:p w:rsidR="00E97728" w:rsidRPr="000B603F" w:rsidRDefault="00E97728" w:rsidP="00E97728">
      <w:pPr>
        <w:pStyle w:val="ListParagraph"/>
        <w:numPr>
          <w:ilvl w:val="0"/>
          <w:numId w:val="7"/>
        </w:numPr>
        <w:jc w:val="both"/>
        <w:rPr>
          <w:rFonts w:ascii="Arial" w:eastAsia="Cambria" w:hAnsi="Arial" w:cs="Arial"/>
          <w:b/>
          <w:bCs/>
          <w:color w:val="31849B" w:themeColor="accent5" w:themeShade="BF"/>
          <w:kern w:val="32"/>
        </w:rPr>
      </w:pPr>
      <w:r w:rsidRPr="000B603F">
        <w:rPr>
          <w:rFonts w:ascii="Arial" w:eastAsia="Cambria" w:hAnsi="Arial" w:cs="Arial"/>
          <w:bCs/>
          <w:kern w:val="32"/>
        </w:rPr>
        <w:t>Engage and build an ever strengthening and capable legal practice</w:t>
      </w:r>
    </w:p>
    <w:p w:rsidR="000B603F" w:rsidRPr="000B603F" w:rsidRDefault="00E97728" w:rsidP="00E97728">
      <w:pPr>
        <w:pStyle w:val="ListParagraph"/>
        <w:numPr>
          <w:ilvl w:val="0"/>
          <w:numId w:val="7"/>
        </w:numPr>
        <w:jc w:val="both"/>
        <w:rPr>
          <w:rFonts w:eastAsia="Cambria"/>
          <w:b/>
          <w:bCs/>
          <w:color w:val="31849B" w:themeColor="accent5" w:themeShade="BF"/>
          <w:kern w:val="32"/>
          <w:sz w:val="24"/>
          <w:szCs w:val="24"/>
        </w:rPr>
      </w:pPr>
      <w:r w:rsidRPr="000B603F">
        <w:rPr>
          <w:rFonts w:ascii="Arial" w:eastAsia="Cambria" w:hAnsi="Arial" w:cs="Arial"/>
          <w:bCs/>
          <w:kern w:val="32"/>
        </w:rPr>
        <w:t>Foster and maintain a network of support for the vulnerable</w:t>
      </w:r>
      <w:r w:rsidR="000B603F">
        <w:rPr>
          <w:rFonts w:ascii="Arial" w:eastAsia="Cambria" w:hAnsi="Arial" w:cs="Arial"/>
          <w:bCs/>
          <w:kern w:val="32"/>
        </w:rPr>
        <w:t xml:space="preserve"> and disadvantaged within or community </w:t>
      </w:r>
    </w:p>
    <w:p w:rsidR="000B603F" w:rsidRPr="000B603F" w:rsidRDefault="000B603F" w:rsidP="00E97728">
      <w:pPr>
        <w:pStyle w:val="ListParagraph"/>
        <w:numPr>
          <w:ilvl w:val="0"/>
          <w:numId w:val="7"/>
        </w:numPr>
        <w:jc w:val="both"/>
        <w:rPr>
          <w:rFonts w:eastAsia="Cambria"/>
          <w:b/>
          <w:bCs/>
          <w:color w:val="31849B" w:themeColor="accent5" w:themeShade="BF"/>
          <w:kern w:val="32"/>
          <w:sz w:val="24"/>
          <w:szCs w:val="24"/>
        </w:rPr>
      </w:pPr>
      <w:r>
        <w:rPr>
          <w:rFonts w:ascii="Arial" w:eastAsia="Cambria" w:hAnsi="Arial" w:cs="Arial"/>
          <w:bCs/>
          <w:kern w:val="32"/>
        </w:rPr>
        <w:t xml:space="preserve">Support families in the provision of services that champion child welfare and safety in the eyes of the law </w:t>
      </w:r>
    </w:p>
    <w:p w:rsidR="00E97728" w:rsidRPr="00E97728" w:rsidRDefault="000B603F" w:rsidP="00E97728">
      <w:pPr>
        <w:pStyle w:val="ListParagraph"/>
        <w:numPr>
          <w:ilvl w:val="0"/>
          <w:numId w:val="7"/>
        </w:numPr>
        <w:jc w:val="both"/>
        <w:rPr>
          <w:rFonts w:eastAsia="Cambria"/>
          <w:b/>
          <w:bCs/>
          <w:color w:val="31849B" w:themeColor="accent5" w:themeShade="BF"/>
          <w:kern w:val="32"/>
          <w:sz w:val="24"/>
          <w:szCs w:val="24"/>
        </w:rPr>
      </w:pPr>
      <w:r>
        <w:rPr>
          <w:rFonts w:ascii="Arial" w:eastAsia="Cambria" w:hAnsi="Arial" w:cs="Arial"/>
          <w:bCs/>
          <w:kern w:val="32"/>
        </w:rPr>
        <w:t xml:space="preserve">Deliver a legal services that builds our community toward building one free from family violence </w:t>
      </w:r>
      <w:r w:rsidR="00E97728">
        <w:rPr>
          <w:rFonts w:eastAsia="Cambria"/>
          <w:bCs/>
          <w:kern w:val="32"/>
          <w:sz w:val="24"/>
          <w:szCs w:val="24"/>
        </w:rPr>
        <w:t xml:space="preserve"> </w:t>
      </w:r>
    </w:p>
    <w:p w:rsidR="00433DAC" w:rsidRPr="00C52497" w:rsidRDefault="00433DAC" w:rsidP="00433DAC">
      <w:pPr>
        <w:jc w:val="both"/>
        <w:rPr>
          <w:rFonts w:eastAsia="Cambria"/>
          <w:b/>
          <w:bCs/>
          <w:color w:val="31849B" w:themeColor="accent5" w:themeShade="BF"/>
          <w:kern w:val="32"/>
          <w:sz w:val="24"/>
          <w:szCs w:val="24"/>
        </w:rPr>
      </w:pPr>
      <w:r w:rsidRPr="00C52497">
        <w:rPr>
          <w:rFonts w:eastAsia="Cambria"/>
          <w:b/>
          <w:bCs/>
          <w:color w:val="31849B" w:themeColor="accent5" w:themeShade="BF"/>
          <w:kern w:val="32"/>
          <w:sz w:val="24"/>
          <w:szCs w:val="24"/>
        </w:rPr>
        <w:t>Objectives</w:t>
      </w:r>
    </w:p>
    <w:p w:rsidR="00433DAC" w:rsidRDefault="000B603F" w:rsidP="00433DAC">
      <w:pPr>
        <w:numPr>
          <w:ilvl w:val="0"/>
          <w:numId w:val="3"/>
        </w:numPr>
        <w:spacing w:after="100"/>
        <w:jc w:val="both"/>
      </w:pPr>
      <w:r>
        <w:t>Deliver high quality and holistic community legal services, ensuring equity, fairness and justice for all</w:t>
      </w:r>
    </w:p>
    <w:p w:rsidR="00433DAC" w:rsidRDefault="000B603F" w:rsidP="00433DAC">
      <w:pPr>
        <w:numPr>
          <w:ilvl w:val="0"/>
          <w:numId w:val="3"/>
        </w:numPr>
        <w:spacing w:after="100"/>
        <w:jc w:val="both"/>
      </w:pPr>
      <w:r>
        <w:t xml:space="preserve">Actively engage in systemic advocacy, to promote and enhance human rights and ensure access to justice </w:t>
      </w:r>
    </w:p>
    <w:p w:rsidR="00433DAC" w:rsidRDefault="000B603F" w:rsidP="00433DAC">
      <w:pPr>
        <w:numPr>
          <w:ilvl w:val="0"/>
          <w:numId w:val="3"/>
        </w:numPr>
        <w:spacing w:after="100"/>
        <w:jc w:val="both"/>
      </w:pPr>
      <w:r>
        <w:t xml:space="preserve">Proactively develop the organisation and its employees to effectively respond to changing community needs </w:t>
      </w:r>
    </w:p>
    <w:p w:rsidR="00433DAC" w:rsidRDefault="000B603F" w:rsidP="00433DAC">
      <w:pPr>
        <w:numPr>
          <w:ilvl w:val="0"/>
          <w:numId w:val="3"/>
        </w:numPr>
        <w:spacing w:after="100"/>
        <w:jc w:val="both"/>
      </w:pPr>
      <w:r>
        <w:t>Innovatively and responsively address increasingly complex legal and social issues impacting upon our community</w:t>
      </w:r>
    </w:p>
    <w:p w:rsidR="00433DAC" w:rsidRDefault="000B603F" w:rsidP="00433DAC">
      <w:pPr>
        <w:numPr>
          <w:ilvl w:val="0"/>
          <w:numId w:val="3"/>
        </w:numPr>
        <w:spacing w:after="100"/>
        <w:jc w:val="both"/>
      </w:pPr>
      <w:r>
        <w:t xml:space="preserve">Demonstrate leadership within our community and the legal assistance sector. </w:t>
      </w:r>
    </w:p>
    <w:p w:rsidR="00433DAC" w:rsidRDefault="00433DAC" w:rsidP="00433DAC">
      <w:pPr>
        <w:spacing w:after="100"/>
        <w:jc w:val="both"/>
        <w:rPr>
          <w:b/>
        </w:rPr>
      </w:pPr>
    </w:p>
    <w:p w:rsidR="00524F32" w:rsidRDefault="00524F32" w:rsidP="00433DAC">
      <w:pPr>
        <w:spacing w:after="100"/>
        <w:jc w:val="both"/>
        <w:rPr>
          <w:b/>
        </w:rPr>
      </w:pPr>
    </w:p>
    <w:p w:rsidR="00524F32" w:rsidRDefault="00524F32" w:rsidP="00433DAC">
      <w:pPr>
        <w:spacing w:after="100"/>
        <w:jc w:val="both"/>
        <w:rPr>
          <w:b/>
        </w:rPr>
      </w:pPr>
    </w:p>
    <w:p w:rsidR="00433DAC" w:rsidRPr="00C52497" w:rsidRDefault="00433DAC" w:rsidP="00433DAC">
      <w:pPr>
        <w:spacing w:after="100"/>
        <w:jc w:val="both"/>
        <w:rPr>
          <w:b/>
          <w:i/>
          <w:sz w:val="16"/>
          <w:szCs w:val="16"/>
        </w:rPr>
      </w:pPr>
      <w:r w:rsidRPr="00C52497">
        <w:rPr>
          <w:b/>
          <w:i/>
          <w:sz w:val="16"/>
          <w:szCs w:val="16"/>
        </w:rPr>
        <w:t xml:space="preserve">Date prepared or last updated: </w:t>
      </w:r>
      <w:r w:rsidR="009004C5">
        <w:rPr>
          <w:b/>
          <w:i/>
          <w:sz w:val="16"/>
          <w:szCs w:val="16"/>
        </w:rPr>
        <w:t xml:space="preserve"> </w:t>
      </w:r>
      <w:r w:rsidR="00410FB7">
        <w:rPr>
          <w:b/>
          <w:i/>
          <w:sz w:val="16"/>
          <w:szCs w:val="16"/>
        </w:rPr>
        <w:t xml:space="preserve">February 2021 </w:t>
      </w:r>
    </w:p>
    <w:p w:rsidR="00B47747" w:rsidRDefault="0032306A"/>
    <w:sectPr w:rsidR="00B47747" w:rsidSect="00E17172">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97" w:rsidRDefault="00C52497" w:rsidP="00C52497">
      <w:r>
        <w:separator/>
      </w:r>
    </w:p>
  </w:endnote>
  <w:endnote w:type="continuationSeparator" w:id="0">
    <w:p w:rsidR="00C52497" w:rsidRDefault="00C52497" w:rsidP="00C5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DFGII+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48618"/>
      <w:docPartObj>
        <w:docPartGallery w:val="Page Numbers (Bottom of Page)"/>
        <w:docPartUnique/>
      </w:docPartObj>
    </w:sdtPr>
    <w:sdtEndPr>
      <w:rPr>
        <w:color w:val="7F7F7F" w:themeColor="background1" w:themeShade="7F"/>
        <w:spacing w:val="60"/>
      </w:rPr>
    </w:sdtEndPr>
    <w:sdtContent>
      <w:p w:rsidR="007A1B78" w:rsidRDefault="007A1B78">
        <w:pPr>
          <w:pStyle w:val="Footer"/>
          <w:pBdr>
            <w:top w:val="single" w:sz="4" w:space="1" w:color="D9D9D9" w:themeColor="background1" w:themeShade="D9"/>
          </w:pBdr>
          <w:jc w:val="right"/>
        </w:pPr>
        <w:r>
          <w:fldChar w:fldCharType="begin"/>
        </w:r>
        <w:r>
          <w:instrText xml:space="preserve"> PAGE   \* MERGEFORMAT </w:instrText>
        </w:r>
        <w:r>
          <w:fldChar w:fldCharType="separate"/>
        </w:r>
        <w:r w:rsidR="0032306A">
          <w:rPr>
            <w:noProof/>
          </w:rPr>
          <w:t>2</w:t>
        </w:r>
        <w:r>
          <w:rPr>
            <w:noProof/>
          </w:rPr>
          <w:fldChar w:fldCharType="end"/>
        </w:r>
        <w:r>
          <w:t xml:space="preserve"> | </w:t>
        </w:r>
        <w:r>
          <w:rPr>
            <w:color w:val="7F7F7F" w:themeColor="background1" w:themeShade="7F"/>
            <w:spacing w:val="60"/>
          </w:rPr>
          <w:t>Page</w:t>
        </w:r>
      </w:p>
    </w:sdtContent>
  </w:sdt>
  <w:p w:rsidR="002B0AD3" w:rsidRPr="00525B3D" w:rsidRDefault="0032306A">
    <w:pPr>
      <w:pStyle w:val="Footer"/>
      <w:rPr>
        <w:b/>
        <w:i/>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97" w:rsidRDefault="00C52497" w:rsidP="00C52497">
      <w:r>
        <w:separator/>
      </w:r>
    </w:p>
  </w:footnote>
  <w:footnote w:type="continuationSeparator" w:id="0">
    <w:p w:rsidR="00C52497" w:rsidRDefault="00C52497" w:rsidP="00C52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438" w:rsidRDefault="0032306A" w:rsidP="009407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69C"/>
    <w:multiLevelType w:val="hybridMultilevel"/>
    <w:tmpl w:val="538A65BC"/>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8D1815"/>
    <w:multiLevelType w:val="hybridMultilevel"/>
    <w:tmpl w:val="182E1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473996"/>
    <w:multiLevelType w:val="hybridMultilevel"/>
    <w:tmpl w:val="B9BE4CE0"/>
    <w:lvl w:ilvl="0" w:tplc="FFFFFFFF">
      <w:start w:val="1"/>
      <w:numFmt w:val="bullet"/>
      <w:lvlText w:val=""/>
      <w:legacy w:legacy="1" w:legacySpace="0" w:legacyIndent="283"/>
      <w:lvlJc w:val="left"/>
      <w:pPr>
        <w:ind w:left="100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F6CB9"/>
    <w:multiLevelType w:val="hybridMultilevel"/>
    <w:tmpl w:val="FA7AB1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C14D48"/>
    <w:multiLevelType w:val="hybridMultilevel"/>
    <w:tmpl w:val="F8569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5B219B"/>
    <w:multiLevelType w:val="hybridMultilevel"/>
    <w:tmpl w:val="073C0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9B51314"/>
    <w:multiLevelType w:val="hybridMultilevel"/>
    <w:tmpl w:val="13483048"/>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AC"/>
    <w:rsid w:val="00012F2D"/>
    <w:rsid w:val="000B603F"/>
    <w:rsid w:val="000F7C72"/>
    <w:rsid w:val="001739F2"/>
    <w:rsid w:val="00225CA1"/>
    <w:rsid w:val="002354CE"/>
    <w:rsid w:val="0030043D"/>
    <w:rsid w:val="00312801"/>
    <w:rsid w:val="0032306A"/>
    <w:rsid w:val="003E7909"/>
    <w:rsid w:val="003F4B01"/>
    <w:rsid w:val="00401C10"/>
    <w:rsid w:val="00410FB7"/>
    <w:rsid w:val="00433DAC"/>
    <w:rsid w:val="00524F32"/>
    <w:rsid w:val="00525B3D"/>
    <w:rsid w:val="0072710F"/>
    <w:rsid w:val="0079721B"/>
    <w:rsid w:val="007A1B78"/>
    <w:rsid w:val="007B7E90"/>
    <w:rsid w:val="00860934"/>
    <w:rsid w:val="00880940"/>
    <w:rsid w:val="008B7B74"/>
    <w:rsid w:val="009004C5"/>
    <w:rsid w:val="00947EB4"/>
    <w:rsid w:val="009A0FFD"/>
    <w:rsid w:val="009E473F"/>
    <w:rsid w:val="00AB0948"/>
    <w:rsid w:val="00C52497"/>
    <w:rsid w:val="00DC23F4"/>
    <w:rsid w:val="00E351AD"/>
    <w:rsid w:val="00E74E32"/>
    <w:rsid w:val="00E97728"/>
    <w:rsid w:val="00EF4FD4"/>
    <w:rsid w:val="00F566BF"/>
    <w:rsid w:val="00FF2D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C362"/>
  <w15:docId w15:val="{62EB4948-C6B4-4CAC-B722-0377B981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DAC"/>
    <w:pPr>
      <w:spacing w:after="0" w:line="240" w:lineRule="auto"/>
    </w:pPr>
    <w:rPr>
      <w:rFonts w:ascii="Arial" w:eastAsia="MS Mincho" w:hAnsi="Arial" w:cs="Times New Roman"/>
    </w:rPr>
  </w:style>
  <w:style w:type="paragraph" w:styleId="Heading3">
    <w:name w:val="heading 3"/>
    <w:basedOn w:val="Normal"/>
    <w:next w:val="Normal"/>
    <w:link w:val="Heading3Char"/>
    <w:qFormat/>
    <w:rsid w:val="00433DAC"/>
    <w:pPr>
      <w:keepNext/>
      <w:pBdr>
        <w:top w:val="single" w:sz="4" w:space="1" w:color="auto"/>
        <w:left w:val="single" w:sz="4" w:space="4" w:color="auto"/>
        <w:bottom w:val="single" w:sz="4" w:space="1" w:color="auto"/>
        <w:right w:val="single" w:sz="4" w:space="4" w:color="auto"/>
      </w:pBdr>
      <w:shd w:val="clear" w:color="auto" w:fill="000000"/>
      <w:outlineLvl w:val="2"/>
    </w:pPr>
    <w:rPr>
      <w:rFonts w:eastAsia="Times New Roman"/>
      <w:b/>
      <w:color w:val="FFFFF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33DAC"/>
    <w:rPr>
      <w:rFonts w:ascii="Arial" w:eastAsia="Times New Roman" w:hAnsi="Arial" w:cs="Times New Roman"/>
      <w:b/>
      <w:color w:val="FFFFFF"/>
      <w:sz w:val="24"/>
      <w:szCs w:val="20"/>
      <w:shd w:val="clear" w:color="auto" w:fill="000000"/>
      <w:lang w:val="en-US"/>
    </w:rPr>
  </w:style>
  <w:style w:type="paragraph" w:styleId="Header">
    <w:name w:val="header"/>
    <w:basedOn w:val="Normal"/>
    <w:link w:val="HeaderChar"/>
    <w:uiPriority w:val="99"/>
    <w:unhideWhenUsed/>
    <w:rsid w:val="00433DAC"/>
    <w:pPr>
      <w:tabs>
        <w:tab w:val="center" w:pos="4320"/>
        <w:tab w:val="right" w:pos="8640"/>
      </w:tabs>
    </w:pPr>
  </w:style>
  <w:style w:type="character" w:customStyle="1" w:styleId="HeaderChar">
    <w:name w:val="Header Char"/>
    <w:basedOn w:val="DefaultParagraphFont"/>
    <w:link w:val="Header"/>
    <w:uiPriority w:val="99"/>
    <w:rsid w:val="00433DAC"/>
    <w:rPr>
      <w:rFonts w:ascii="Arial" w:eastAsia="MS Mincho" w:hAnsi="Arial" w:cs="Times New Roman"/>
    </w:rPr>
  </w:style>
  <w:style w:type="paragraph" w:styleId="Footer">
    <w:name w:val="footer"/>
    <w:basedOn w:val="Normal"/>
    <w:link w:val="FooterChar"/>
    <w:uiPriority w:val="99"/>
    <w:unhideWhenUsed/>
    <w:rsid w:val="00433DAC"/>
    <w:pPr>
      <w:tabs>
        <w:tab w:val="center" w:pos="4320"/>
        <w:tab w:val="right" w:pos="8640"/>
      </w:tabs>
    </w:pPr>
  </w:style>
  <w:style w:type="character" w:customStyle="1" w:styleId="FooterChar">
    <w:name w:val="Footer Char"/>
    <w:basedOn w:val="DefaultParagraphFont"/>
    <w:link w:val="Footer"/>
    <w:uiPriority w:val="99"/>
    <w:rsid w:val="00433DAC"/>
    <w:rPr>
      <w:rFonts w:ascii="Arial" w:eastAsia="MS Mincho" w:hAnsi="Arial" w:cs="Times New Roman"/>
    </w:rPr>
  </w:style>
  <w:style w:type="paragraph" w:styleId="BodyText">
    <w:name w:val="Body Text"/>
    <w:basedOn w:val="Normal"/>
    <w:link w:val="BodyTextChar"/>
    <w:uiPriority w:val="99"/>
    <w:unhideWhenUsed/>
    <w:rsid w:val="00433DAC"/>
    <w:pPr>
      <w:spacing w:after="120"/>
    </w:pPr>
  </w:style>
  <w:style w:type="character" w:customStyle="1" w:styleId="BodyTextChar">
    <w:name w:val="Body Text Char"/>
    <w:basedOn w:val="DefaultParagraphFont"/>
    <w:link w:val="BodyText"/>
    <w:uiPriority w:val="99"/>
    <w:rsid w:val="00433DAC"/>
    <w:rPr>
      <w:rFonts w:ascii="Arial" w:eastAsia="MS Mincho" w:hAnsi="Arial" w:cs="Times New Roman"/>
    </w:rPr>
  </w:style>
  <w:style w:type="paragraph" w:styleId="ListParagraph">
    <w:name w:val="List Paragraph"/>
    <w:basedOn w:val="Normal"/>
    <w:uiPriority w:val="34"/>
    <w:qFormat/>
    <w:rsid w:val="00433DAC"/>
    <w:pPr>
      <w:spacing w:after="200" w:line="276" w:lineRule="auto"/>
      <w:ind w:left="720"/>
    </w:pPr>
    <w:rPr>
      <w:rFonts w:ascii="Calibri" w:eastAsia="Calibri" w:hAnsi="Calibri"/>
    </w:rPr>
  </w:style>
  <w:style w:type="paragraph" w:styleId="NoSpacing">
    <w:name w:val="No Spacing"/>
    <w:uiPriority w:val="1"/>
    <w:qFormat/>
    <w:rsid w:val="00433DA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33DAC"/>
    <w:rPr>
      <w:rFonts w:ascii="Tahoma" w:hAnsi="Tahoma" w:cs="Tahoma"/>
      <w:sz w:val="16"/>
      <w:szCs w:val="16"/>
    </w:rPr>
  </w:style>
  <w:style w:type="character" w:customStyle="1" w:styleId="BalloonTextChar">
    <w:name w:val="Balloon Text Char"/>
    <w:basedOn w:val="DefaultParagraphFont"/>
    <w:link w:val="BalloonText"/>
    <w:uiPriority w:val="99"/>
    <w:semiHidden/>
    <w:rsid w:val="00433DAC"/>
    <w:rPr>
      <w:rFonts w:ascii="Tahoma" w:eastAsia="MS Mincho" w:hAnsi="Tahoma" w:cs="Tahoma"/>
      <w:sz w:val="16"/>
      <w:szCs w:val="16"/>
    </w:rPr>
  </w:style>
  <w:style w:type="table" w:styleId="TableGrid">
    <w:name w:val="Table Grid"/>
    <w:basedOn w:val="TableNormal"/>
    <w:uiPriority w:val="59"/>
    <w:rsid w:val="00300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Simpson-Mihailovic</dc:creator>
  <cp:lastModifiedBy>Jackie Galloway</cp:lastModifiedBy>
  <cp:revision>2</cp:revision>
  <cp:lastPrinted>2018-09-10T03:04:00Z</cp:lastPrinted>
  <dcterms:created xsi:type="dcterms:W3CDTF">2021-02-17T06:16:00Z</dcterms:created>
  <dcterms:modified xsi:type="dcterms:W3CDTF">2021-02-17T06:16:00Z</dcterms:modified>
</cp:coreProperties>
</file>