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2C0861" w:rsidP="00B76506">
            <w:pPr>
              <w:rPr>
                <w:color w:val="002060"/>
              </w:rPr>
            </w:pPr>
            <w:r>
              <w:t xml:space="preserve">Kinship </w:t>
            </w:r>
            <w:r w:rsidR="00B76506">
              <w:t>Case Manager</w:t>
            </w:r>
            <w:bookmarkStart w:id="0" w:name="_GoBack"/>
            <w:bookmarkEnd w:id="0"/>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1B5130" w:rsidP="00C35A23">
            <w:pPr>
              <w:rPr>
                <w:color w:val="002060"/>
              </w:rPr>
            </w:pPr>
            <w:r w:rsidRPr="001B5130">
              <w:rPr>
                <w:color w:val="002060"/>
              </w:rPr>
              <w:t>Morwell office or other location as required.</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6436D" w:rsidRPr="00F90B46" w:rsidRDefault="001B5130" w:rsidP="001B5130">
            <w:pPr>
              <w:rPr>
                <w:color w:val="002060"/>
              </w:rPr>
            </w:pPr>
            <w:r w:rsidRPr="001B5130">
              <w:rPr>
                <w:color w:val="002060"/>
              </w:rPr>
              <w:t xml:space="preserve">Practice Leader - Out of Home Care (Kinship) and </w:t>
            </w:r>
            <w:r>
              <w:rPr>
                <w:color w:val="002060"/>
              </w:rPr>
              <w:t>Manager Care &amp; Family Services.</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rsidR="0076436D" w:rsidRPr="00F90B46" w:rsidRDefault="001B5130" w:rsidP="00C35A23">
            <w:pPr>
              <w:rPr>
                <w:color w:val="002060"/>
              </w:rPr>
            </w:pPr>
            <w:r>
              <w:rPr>
                <w:color w:val="002060"/>
              </w:rPr>
              <w:t xml:space="preserve">Care &amp; Family Services </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Duration:</w:t>
            </w:r>
          </w:p>
        </w:tc>
        <w:tc>
          <w:tcPr>
            <w:tcW w:w="6917" w:type="dxa"/>
            <w:vAlign w:val="center"/>
          </w:tcPr>
          <w:p w:rsidR="0076436D" w:rsidRPr="00F90B46" w:rsidRDefault="007568E7" w:rsidP="00C35A23">
            <w:pPr>
              <w:rPr>
                <w:color w:val="002060"/>
              </w:rPr>
            </w:pPr>
            <w:r w:rsidRPr="007568E7">
              <w:rPr>
                <w:color w:val="002060"/>
              </w:rPr>
              <w:t>The position is for a 12 month contract further employment is dependent upon ongoing funding.</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1B5130" w:rsidP="00C35A23">
            <w:pPr>
              <w:rPr>
                <w:color w:val="002060"/>
              </w:rPr>
            </w:pPr>
            <w:r>
              <w:rPr>
                <w:color w:val="002060"/>
              </w:rPr>
              <w:t>SCHADS Award Level 5</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lastRenderedPageBreak/>
              <w:t>Our Goals</w:t>
            </w:r>
          </w:p>
        </w:tc>
        <w:tc>
          <w:tcPr>
            <w:tcW w:w="6917" w:type="dxa"/>
            <w:vAlign w:val="center"/>
          </w:tcPr>
          <w:p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A836C7" w:rsidP="00EE55C0">
            <w:pPr>
              <w:rPr>
                <w:color w:val="002060"/>
              </w:rPr>
            </w:pPr>
            <w:r w:rsidRPr="00F90B46">
              <w:rPr>
                <w:b/>
                <w:color w:val="002060"/>
              </w:rPr>
              <w:t>Primary Position Objective</w:t>
            </w:r>
          </w:p>
        </w:tc>
      </w:tr>
      <w:tr w:rsidR="00A836C7" w:rsidRPr="00F90B46" w:rsidTr="00C361EC">
        <w:trPr>
          <w:trHeight w:val="328"/>
        </w:trPr>
        <w:tc>
          <w:tcPr>
            <w:tcW w:w="10456" w:type="dxa"/>
            <w:vAlign w:val="center"/>
          </w:tcPr>
          <w:p w:rsidR="001B5130" w:rsidRPr="001B5130" w:rsidRDefault="001B5130" w:rsidP="001B5130">
            <w:pPr>
              <w:jc w:val="both"/>
              <w:rPr>
                <w:color w:val="002060"/>
              </w:rPr>
            </w:pPr>
            <w:r w:rsidRPr="001B5130">
              <w:rPr>
                <w:color w:val="002060"/>
              </w:rPr>
              <w:t>This position will be responsible for working within a new model of Kinship Care (Firs</w:t>
            </w:r>
            <w:r w:rsidR="000E2578">
              <w:rPr>
                <w:color w:val="002060"/>
              </w:rPr>
              <w:t xml:space="preserve">t Supports). This model of care </w:t>
            </w:r>
            <w:r w:rsidRPr="001B5130">
              <w:rPr>
                <w:color w:val="002060"/>
              </w:rPr>
              <w:t>will be available to new statutory kinship care placements expected to last longer than three months. First Supports</w:t>
            </w:r>
          </w:p>
          <w:p w:rsidR="001B5130" w:rsidRPr="001B5130" w:rsidRDefault="001B5130" w:rsidP="001B5130">
            <w:pPr>
              <w:jc w:val="both"/>
              <w:rPr>
                <w:color w:val="002060"/>
              </w:rPr>
            </w:pPr>
            <w:proofErr w:type="gramStart"/>
            <w:r w:rsidRPr="001B5130">
              <w:rPr>
                <w:color w:val="002060"/>
              </w:rPr>
              <w:t>includes</w:t>
            </w:r>
            <w:proofErr w:type="gramEnd"/>
            <w:r w:rsidRPr="001B5130">
              <w:rPr>
                <w:color w:val="002060"/>
              </w:rPr>
              <w:t xml:space="preserve"> timely comprehensive assessment, identification of needs, access to family s</w:t>
            </w:r>
            <w:r w:rsidR="000E2578">
              <w:rPr>
                <w:color w:val="002060"/>
              </w:rPr>
              <w:t xml:space="preserve">ervices, and flexible brokerage </w:t>
            </w:r>
            <w:r w:rsidRPr="001B5130">
              <w:rPr>
                <w:color w:val="002060"/>
              </w:rPr>
              <w:t>up to $1,000 to help establish placements.</w:t>
            </w:r>
          </w:p>
          <w:p w:rsidR="001B5130" w:rsidRPr="001B5130" w:rsidRDefault="001B5130" w:rsidP="001B5130">
            <w:pPr>
              <w:jc w:val="both"/>
              <w:rPr>
                <w:color w:val="002060"/>
              </w:rPr>
            </w:pPr>
            <w:r w:rsidRPr="001B5130">
              <w:rPr>
                <w:color w:val="002060"/>
              </w:rPr>
              <w:t>The main objectives of the new kinship care model are to:</w:t>
            </w:r>
          </w:p>
          <w:p w:rsidR="001B5130" w:rsidRPr="001B5130" w:rsidRDefault="001B5130" w:rsidP="001B5130">
            <w:pPr>
              <w:pStyle w:val="ListParagraph"/>
              <w:numPr>
                <w:ilvl w:val="0"/>
                <w:numId w:val="42"/>
              </w:numPr>
              <w:jc w:val="both"/>
              <w:rPr>
                <w:color w:val="002060"/>
              </w:rPr>
            </w:pPr>
            <w:r w:rsidRPr="001B5130">
              <w:rPr>
                <w:color w:val="002060"/>
              </w:rPr>
              <w:t>Identify kinship networks early</w:t>
            </w:r>
          </w:p>
          <w:p w:rsidR="001B5130" w:rsidRPr="001B5130" w:rsidRDefault="001B5130" w:rsidP="001B5130">
            <w:pPr>
              <w:pStyle w:val="ListParagraph"/>
              <w:numPr>
                <w:ilvl w:val="0"/>
                <w:numId w:val="42"/>
              </w:numPr>
              <w:jc w:val="both"/>
              <w:rPr>
                <w:color w:val="002060"/>
              </w:rPr>
            </w:pPr>
            <w:r w:rsidRPr="001B5130">
              <w:rPr>
                <w:color w:val="002060"/>
              </w:rPr>
              <w:t>Strengthen reunification, where appropriate</w:t>
            </w:r>
          </w:p>
          <w:p w:rsidR="001B5130" w:rsidRPr="001B5130" w:rsidRDefault="001B5130" w:rsidP="001B5130">
            <w:pPr>
              <w:pStyle w:val="ListParagraph"/>
              <w:numPr>
                <w:ilvl w:val="0"/>
                <w:numId w:val="42"/>
              </w:numPr>
              <w:jc w:val="both"/>
              <w:rPr>
                <w:color w:val="002060"/>
              </w:rPr>
            </w:pPr>
            <w:r w:rsidRPr="001B5130">
              <w:rPr>
                <w:color w:val="002060"/>
              </w:rPr>
              <w:t>Promote placement quality and support children and young people living with kinship families to thrive</w:t>
            </w:r>
          </w:p>
          <w:p w:rsidR="0075109E" w:rsidRPr="001B5130" w:rsidRDefault="001B5130" w:rsidP="001B5130">
            <w:pPr>
              <w:pStyle w:val="ListParagraph"/>
              <w:numPr>
                <w:ilvl w:val="0"/>
                <w:numId w:val="42"/>
              </w:numPr>
              <w:jc w:val="both"/>
              <w:rPr>
                <w:color w:val="002060"/>
              </w:rPr>
            </w:pPr>
            <w:r w:rsidRPr="001B5130">
              <w:rPr>
                <w:color w:val="002060"/>
              </w:rPr>
              <w:t>Promote placement stability, including reducing the likelihood of entry into residential care.</w:t>
            </w: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F90B46" w:rsidRPr="00F90B46" w:rsidTr="006C6ED3">
        <w:trPr>
          <w:trHeight w:val="328"/>
        </w:trPr>
        <w:tc>
          <w:tcPr>
            <w:tcW w:w="2122" w:type="dxa"/>
            <w:vAlign w:val="center"/>
          </w:tcPr>
          <w:p w:rsidR="001B3324" w:rsidRPr="00F90B46" w:rsidRDefault="001B5130" w:rsidP="00EE55C0">
            <w:pPr>
              <w:rPr>
                <w:b/>
                <w:color w:val="002060"/>
              </w:rPr>
            </w:pPr>
            <w:r>
              <w:rPr>
                <w:b/>
                <w:color w:val="002060"/>
              </w:rPr>
              <w:t>Service Delivery</w:t>
            </w:r>
          </w:p>
        </w:tc>
        <w:tc>
          <w:tcPr>
            <w:tcW w:w="8334" w:type="dxa"/>
            <w:vAlign w:val="center"/>
          </w:tcPr>
          <w:p w:rsidR="001B5130" w:rsidRPr="001B5130" w:rsidRDefault="001B5130" w:rsidP="001B5130">
            <w:pPr>
              <w:pStyle w:val="ListParagraph"/>
              <w:numPr>
                <w:ilvl w:val="0"/>
                <w:numId w:val="34"/>
              </w:numPr>
              <w:jc w:val="both"/>
              <w:rPr>
                <w:color w:val="002060"/>
              </w:rPr>
            </w:pPr>
            <w:r w:rsidRPr="001B5130">
              <w:rPr>
                <w:color w:val="002060"/>
              </w:rPr>
              <w:t>Completion of comprehensive carer and placement assessments in a timely manner.</w:t>
            </w:r>
          </w:p>
          <w:p w:rsidR="00CD726F" w:rsidRDefault="001B5130" w:rsidP="001B5130">
            <w:pPr>
              <w:pStyle w:val="ListParagraph"/>
              <w:numPr>
                <w:ilvl w:val="0"/>
                <w:numId w:val="34"/>
              </w:numPr>
              <w:jc w:val="both"/>
              <w:rPr>
                <w:color w:val="002060"/>
              </w:rPr>
            </w:pPr>
            <w:r w:rsidRPr="001B5130">
              <w:rPr>
                <w:color w:val="002060"/>
              </w:rPr>
              <w:t>To identify and address risk and safety factors within the kinship household.</w:t>
            </w:r>
            <w:r w:rsidR="0048014D" w:rsidRPr="00F90B46">
              <w:rPr>
                <w:color w:val="002060"/>
              </w:rPr>
              <w:t xml:space="preserve"> </w:t>
            </w:r>
          </w:p>
          <w:p w:rsidR="001B5130" w:rsidRPr="006061F7" w:rsidRDefault="001B5130" w:rsidP="006061F7">
            <w:pPr>
              <w:pStyle w:val="ListParagraph"/>
              <w:numPr>
                <w:ilvl w:val="0"/>
                <w:numId w:val="34"/>
              </w:numPr>
              <w:jc w:val="both"/>
              <w:rPr>
                <w:color w:val="002060"/>
              </w:rPr>
            </w:pPr>
            <w:r w:rsidRPr="001B5130">
              <w:rPr>
                <w:color w:val="002060"/>
              </w:rPr>
              <w:t>Make an informed decision about strengths and areas for growth within th</w:t>
            </w:r>
            <w:r w:rsidR="006061F7">
              <w:rPr>
                <w:color w:val="002060"/>
              </w:rPr>
              <w:t xml:space="preserve">e placement to enhance the best </w:t>
            </w:r>
            <w:r w:rsidRPr="006061F7">
              <w:rPr>
                <w:color w:val="002060"/>
              </w:rPr>
              <w:t>outcomes for the child</w:t>
            </w:r>
            <w:r w:rsidR="006061F7">
              <w:rPr>
                <w:color w:val="002060"/>
              </w:rPr>
              <w:t>.</w:t>
            </w:r>
          </w:p>
          <w:p w:rsidR="001B5130" w:rsidRPr="006061F7" w:rsidRDefault="001B5130" w:rsidP="006061F7">
            <w:pPr>
              <w:pStyle w:val="ListParagraph"/>
              <w:numPr>
                <w:ilvl w:val="0"/>
                <w:numId w:val="34"/>
              </w:numPr>
              <w:jc w:val="both"/>
              <w:rPr>
                <w:color w:val="002060"/>
              </w:rPr>
            </w:pPr>
            <w:r w:rsidRPr="001B5130">
              <w:rPr>
                <w:color w:val="002060"/>
              </w:rPr>
              <w:t>To provide recommendations to Child Protection about the suitability of the placeme</w:t>
            </w:r>
            <w:r w:rsidR="006061F7">
              <w:rPr>
                <w:color w:val="002060"/>
              </w:rPr>
              <w:t xml:space="preserve">nt, carers' ability to meet the </w:t>
            </w:r>
            <w:r w:rsidRPr="006061F7">
              <w:rPr>
                <w:color w:val="002060"/>
              </w:rPr>
              <w:t>needs of the child and engagement in planning regarding successful sustainability of the placement.</w:t>
            </w:r>
          </w:p>
          <w:p w:rsidR="001B5130" w:rsidRPr="001B5130" w:rsidRDefault="001B5130" w:rsidP="001B5130">
            <w:pPr>
              <w:pStyle w:val="ListParagraph"/>
              <w:numPr>
                <w:ilvl w:val="0"/>
                <w:numId w:val="34"/>
              </w:numPr>
              <w:jc w:val="both"/>
              <w:rPr>
                <w:color w:val="002060"/>
              </w:rPr>
            </w:pPr>
            <w:r w:rsidRPr="001B5130">
              <w:rPr>
                <w:color w:val="002060"/>
              </w:rPr>
              <w:t>To identify and coordinate necessary supports to enable the success of the placement.</w:t>
            </w:r>
          </w:p>
          <w:p w:rsidR="001B5130" w:rsidRPr="001B5130" w:rsidRDefault="001B5130" w:rsidP="001B5130">
            <w:pPr>
              <w:pStyle w:val="ListParagraph"/>
              <w:numPr>
                <w:ilvl w:val="0"/>
                <w:numId w:val="34"/>
              </w:numPr>
              <w:jc w:val="both"/>
              <w:rPr>
                <w:color w:val="002060"/>
              </w:rPr>
            </w:pPr>
            <w:r w:rsidRPr="001B5130">
              <w:rPr>
                <w:color w:val="002060"/>
              </w:rPr>
              <w:t>To identify the support and care needs of the child to inform appropriate carer allowance</w:t>
            </w:r>
            <w:r w:rsidR="006061F7">
              <w:rPr>
                <w:color w:val="002060"/>
              </w:rPr>
              <w:t>.</w:t>
            </w:r>
          </w:p>
          <w:p w:rsidR="001B5130" w:rsidRPr="006061F7" w:rsidRDefault="001B5130" w:rsidP="006061F7">
            <w:pPr>
              <w:pStyle w:val="ListParagraph"/>
              <w:numPr>
                <w:ilvl w:val="0"/>
                <w:numId w:val="34"/>
              </w:numPr>
              <w:jc w:val="both"/>
              <w:rPr>
                <w:color w:val="002060"/>
              </w:rPr>
            </w:pPr>
            <w:r w:rsidRPr="001B5130">
              <w:rPr>
                <w:color w:val="002060"/>
              </w:rPr>
              <w:t>Support and assist the kinship carer to adjust to taking on the care of a child in their home, including provision of</w:t>
            </w:r>
            <w:r w:rsidR="006061F7">
              <w:rPr>
                <w:color w:val="002060"/>
              </w:rPr>
              <w:t xml:space="preserve"> </w:t>
            </w:r>
            <w:r w:rsidRPr="006061F7">
              <w:rPr>
                <w:color w:val="002060"/>
              </w:rPr>
              <w:t>stability, safety and development of the child whilst in their care.</w:t>
            </w:r>
          </w:p>
          <w:p w:rsidR="001B5130" w:rsidRPr="006061F7" w:rsidRDefault="001B5130" w:rsidP="006061F7">
            <w:pPr>
              <w:pStyle w:val="ListParagraph"/>
              <w:numPr>
                <w:ilvl w:val="0"/>
                <w:numId w:val="34"/>
              </w:numPr>
              <w:jc w:val="both"/>
              <w:rPr>
                <w:color w:val="002060"/>
              </w:rPr>
            </w:pPr>
            <w:r w:rsidRPr="001B5130">
              <w:rPr>
                <w:color w:val="002060"/>
              </w:rPr>
              <w:t>Provision of psycho-education to the kinship carer and/or child to support their understanding of the impact of</w:t>
            </w:r>
            <w:r w:rsidR="006061F7">
              <w:rPr>
                <w:color w:val="002060"/>
              </w:rPr>
              <w:t xml:space="preserve"> </w:t>
            </w:r>
            <w:r w:rsidRPr="006061F7">
              <w:rPr>
                <w:color w:val="002060"/>
              </w:rPr>
              <w:t>trauma on the developing brain, presenting behaviours and resulting strategies to assist the child to heal and</w:t>
            </w:r>
            <w:r w:rsidR="006061F7">
              <w:rPr>
                <w:color w:val="002060"/>
              </w:rPr>
              <w:t xml:space="preserve"> </w:t>
            </w:r>
            <w:r w:rsidRPr="006061F7">
              <w:rPr>
                <w:color w:val="002060"/>
              </w:rPr>
              <w:t>develop adaptive responses.</w:t>
            </w:r>
          </w:p>
          <w:p w:rsidR="001B5130" w:rsidRPr="006061F7" w:rsidRDefault="001B5130" w:rsidP="006061F7">
            <w:pPr>
              <w:pStyle w:val="ListParagraph"/>
              <w:numPr>
                <w:ilvl w:val="0"/>
                <w:numId w:val="34"/>
              </w:numPr>
              <w:jc w:val="both"/>
              <w:rPr>
                <w:color w:val="002060"/>
              </w:rPr>
            </w:pPr>
            <w:r w:rsidRPr="001B5130">
              <w:rPr>
                <w:color w:val="002060"/>
              </w:rPr>
              <w:t>Support and assist the carer to deal with any emerging issues (e.g. relationship difficulties family conflict,</w:t>
            </w:r>
            <w:r w:rsidR="006061F7">
              <w:rPr>
                <w:color w:val="002060"/>
              </w:rPr>
              <w:t xml:space="preserve"> </w:t>
            </w:r>
            <w:r w:rsidRPr="006061F7">
              <w:rPr>
                <w:color w:val="002060"/>
              </w:rPr>
              <w:t>behavioural)</w:t>
            </w:r>
            <w:r w:rsidR="006061F7">
              <w:rPr>
                <w:color w:val="002060"/>
              </w:rPr>
              <w:t>.</w:t>
            </w:r>
          </w:p>
          <w:p w:rsidR="001B5130" w:rsidRPr="006061F7" w:rsidRDefault="001B5130" w:rsidP="006061F7">
            <w:pPr>
              <w:pStyle w:val="ListParagraph"/>
              <w:numPr>
                <w:ilvl w:val="0"/>
                <w:numId w:val="34"/>
              </w:numPr>
              <w:jc w:val="both"/>
              <w:rPr>
                <w:color w:val="002060"/>
              </w:rPr>
            </w:pPr>
            <w:r w:rsidRPr="001B5130">
              <w:rPr>
                <w:color w:val="002060"/>
              </w:rPr>
              <w:t>Support and assist the child to settle within the placement and respond to the child's developmental needs (</w:t>
            </w:r>
            <w:proofErr w:type="spellStart"/>
            <w:r w:rsidRPr="001B5130">
              <w:rPr>
                <w:color w:val="002060"/>
              </w:rPr>
              <w:t>e.g</w:t>
            </w:r>
            <w:proofErr w:type="spellEnd"/>
            <w:r w:rsidRPr="001B5130">
              <w:rPr>
                <w:color w:val="002060"/>
              </w:rPr>
              <w:t>,</w:t>
            </w:r>
            <w:r w:rsidR="006061F7">
              <w:rPr>
                <w:color w:val="002060"/>
              </w:rPr>
              <w:t xml:space="preserve"> </w:t>
            </w:r>
            <w:r w:rsidRPr="006061F7">
              <w:rPr>
                <w:color w:val="002060"/>
              </w:rPr>
              <w:t>health care, school, age appropriate activities)</w:t>
            </w:r>
            <w:r w:rsidR="006061F7">
              <w:rPr>
                <w:color w:val="002060"/>
              </w:rPr>
              <w:t>.</w:t>
            </w:r>
          </w:p>
          <w:p w:rsidR="001B5130" w:rsidRPr="001B5130" w:rsidRDefault="001B5130" w:rsidP="001B5130">
            <w:pPr>
              <w:pStyle w:val="ListParagraph"/>
              <w:numPr>
                <w:ilvl w:val="0"/>
                <w:numId w:val="34"/>
              </w:numPr>
              <w:jc w:val="both"/>
              <w:rPr>
                <w:color w:val="002060"/>
              </w:rPr>
            </w:pPr>
            <w:r w:rsidRPr="001B5130">
              <w:rPr>
                <w:color w:val="002060"/>
              </w:rPr>
              <w:t>Assist with explaining to the child the reasons for the kinship care arrangement</w:t>
            </w:r>
            <w:r w:rsidR="006061F7">
              <w:rPr>
                <w:color w:val="002060"/>
              </w:rPr>
              <w:t>.</w:t>
            </w:r>
          </w:p>
          <w:p w:rsidR="001B5130" w:rsidRPr="001B5130" w:rsidRDefault="001B5130" w:rsidP="001B5130">
            <w:pPr>
              <w:pStyle w:val="ListParagraph"/>
              <w:numPr>
                <w:ilvl w:val="0"/>
                <w:numId w:val="34"/>
              </w:numPr>
              <w:jc w:val="both"/>
              <w:rPr>
                <w:color w:val="002060"/>
              </w:rPr>
            </w:pPr>
            <w:r w:rsidRPr="001B5130">
              <w:rPr>
                <w:color w:val="002060"/>
              </w:rPr>
              <w:t>Assist the kinship carer to manage contact arrangements with the child's family</w:t>
            </w:r>
            <w:r w:rsidR="006061F7">
              <w:rPr>
                <w:color w:val="002060"/>
              </w:rPr>
              <w:t>.</w:t>
            </w:r>
          </w:p>
          <w:p w:rsidR="001B5130" w:rsidRPr="001B5130" w:rsidRDefault="001B5130" w:rsidP="001B5130">
            <w:pPr>
              <w:pStyle w:val="ListParagraph"/>
              <w:numPr>
                <w:ilvl w:val="0"/>
                <w:numId w:val="34"/>
              </w:numPr>
              <w:jc w:val="both"/>
              <w:rPr>
                <w:color w:val="002060"/>
              </w:rPr>
            </w:pPr>
            <w:r w:rsidRPr="001B5130">
              <w:rPr>
                <w:color w:val="002060"/>
              </w:rPr>
              <w:t>Encourage and facilitate connections to culture</w:t>
            </w:r>
          </w:p>
          <w:p w:rsidR="001B5130" w:rsidRPr="001B5130" w:rsidRDefault="001B5130" w:rsidP="001B5130">
            <w:pPr>
              <w:pStyle w:val="ListParagraph"/>
              <w:numPr>
                <w:ilvl w:val="0"/>
                <w:numId w:val="34"/>
              </w:numPr>
              <w:jc w:val="both"/>
              <w:rPr>
                <w:color w:val="002060"/>
              </w:rPr>
            </w:pPr>
            <w:r w:rsidRPr="001B5130">
              <w:rPr>
                <w:color w:val="002060"/>
              </w:rPr>
              <w:t>Facilitation and coordination of a care team</w:t>
            </w:r>
          </w:p>
          <w:p w:rsidR="001B5130" w:rsidRPr="001B5130" w:rsidRDefault="001B5130" w:rsidP="001B5130">
            <w:pPr>
              <w:pStyle w:val="ListParagraph"/>
              <w:numPr>
                <w:ilvl w:val="0"/>
                <w:numId w:val="34"/>
              </w:numPr>
              <w:jc w:val="both"/>
              <w:rPr>
                <w:color w:val="002060"/>
              </w:rPr>
            </w:pPr>
            <w:r w:rsidRPr="001B5130">
              <w:rPr>
                <w:color w:val="002060"/>
              </w:rPr>
              <w:t>Practical support and/or material aid</w:t>
            </w:r>
          </w:p>
          <w:p w:rsidR="001B5130" w:rsidRPr="001B5130" w:rsidRDefault="001B5130" w:rsidP="001B5130">
            <w:pPr>
              <w:pStyle w:val="ListParagraph"/>
              <w:numPr>
                <w:ilvl w:val="0"/>
                <w:numId w:val="34"/>
              </w:numPr>
              <w:jc w:val="both"/>
              <w:rPr>
                <w:color w:val="002060"/>
              </w:rPr>
            </w:pPr>
            <w:r w:rsidRPr="001B5130">
              <w:rPr>
                <w:color w:val="002060"/>
              </w:rPr>
              <w:t>Information, advice and advocacy</w:t>
            </w:r>
          </w:p>
          <w:p w:rsidR="001B5130" w:rsidRPr="001B5130" w:rsidRDefault="001B5130" w:rsidP="001B5130">
            <w:pPr>
              <w:pStyle w:val="ListParagraph"/>
              <w:numPr>
                <w:ilvl w:val="0"/>
                <w:numId w:val="34"/>
              </w:numPr>
              <w:jc w:val="both"/>
              <w:rPr>
                <w:color w:val="002060"/>
              </w:rPr>
            </w:pPr>
            <w:r w:rsidRPr="001B5130">
              <w:rPr>
                <w:color w:val="002060"/>
              </w:rPr>
              <w:t>Referrals to other services</w:t>
            </w:r>
          </w:p>
          <w:p w:rsidR="001B5130" w:rsidRPr="001B5130" w:rsidRDefault="001B5130" w:rsidP="001B5130">
            <w:pPr>
              <w:pStyle w:val="ListParagraph"/>
              <w:numPr>
                <w:ilvl w:val="0"/>
                <w:numId w:val="34"/>
              </w:numPr>
              <w:jc w:val="both"/>
              <w:rPr>
                <w:color w:val="002060"/>
              </w:rPr>
            </w:pPr>
            <w:r w:rsidRPr="001B5130">
              <w:rPr>
                <w:color w:val="002060"/>
              </w:rPr>
              <w:t>Provision of case management as per DHHS case contracting arrangements</w:t>
            </w:r>
          </w:p>
          <w:p w:rsidR="001B5130" w:rsidRPr="00F90B46" w:rsidRDefault="001B5130" w:rsidP="001B5130">
            <w:pPr>
              <w:pStyle w:val="ListParagraph"/>
              <w:numPr>
                <w:ilvl w:val="0"/>
                <w:numId w:val="34"/>
              </w:numPr>
              <w:jc w:val="both"/>
              <w:rPr>
                <w:color w:val="002060"/>
              </w:rPr>
            </w:pPr>
            <w:r w:rsidRPr="001B5130">
              <w:rPr>
                <w:color w:val="002060"/>
              </w:rPr>
              <w:t>Provision of on-call services to both kinship and out of home care placements.</w:t>
            </w:r>
          </w:p>
        </w:tc>
      </w:tr>
      <w:tr w:rsidR="00F90B46" w:rsidRPr="00F90B46" w:rsidTr="006C6ED3">
        <w:trPr>
          <w:trHeight w:val="328"/>
        </w:trPr>
        <w:tc>
          <w:tcPr>
            <w:tcW w:w="2122" w:type="dxa"/>
            <w:vAlign w:val="center"/>
          </w:tcPr>
          <w:p w:rsidR="001B3324" w:rsidRPr="00F90B46" w:rsidRDefault="006061F7" w:rsidP="00EE55C0">
            <w:pPr>
              <w:rPr>
                <w:b/>
                <w:color w:val="002060"/>
              </w:rPr>
            </w:pPr>
            <w:r w:rsidRPr="006061F7">
              <w:rPr>
                <w:b/>
                <w:color w:val="002060"/>
              </w:rPr>
              <w:t>Community Development&amp; Networking</w:t>
            </w:r>
          </w:p>
        </w:tc>
        <w:tc>
          <w:tcPr>
            <w:tcW w:w="8334" w:type="dxa"/>
            <w:vAlign w:val="center"/>
          </w:tcPr>
          <w:p w:rsidR="006061F7" w:rsidRPr="006061F7" w:rsidRDefault="006061F7" w:rsidP="006061F7">
            <w:pPr>
              <w:pStyle w:val="ListParagraph"/>
              <w:numPr>
                <w:ilvl w:val="0"/>
                <w:numId w:val="34"/>
              </w:numPr>
              <w:jc w:val="both"/>
              <w:rPr>
                <w:color w:val="002060"/>
              </w:rPr>
            </w:pPr>
            <w:r w:rsidRPr="006061F7">
              <w:rPr>
                <w:color w:val="002060"/>
              </w:rPr>
              <w:t>Participate in community development by disseminating information to other a</w:t>
            </w:r>
            <w:r>
              <w:rPr>
                <w:color w:val="002060"/>
              </w:rPr>
              <w:t xml:space="preserve">gencies, community groups, local </w:t>
            </w:r>
            <w:r w:rsidRPr="006061F7">
              <w:rPr>
                <w:color w:val="002060"/>
              </w:rPr>
              <w:t>governments and other relevant services.</w:t>
            </w:r>
          </w:p>
          <w:p w:rsidR="006061F7" w:rsidRPr="006061F7" w:rsidRDefault="006061F7" w:rsidP="006061F7">
            <w:pPr>
              <w:pStyle w:val="ListParagraph"/>
              <w:numPr>
                <w:ilvl w:val="0"/>
                <w:numId w:val="34"/>
              </w:numPr>
              <w:jc w:val="both"/>
              <w:rPr>
                <w:color w:val="002060"/>
              </w:rPr>
            </w:pPr>
            <w:r w:rsidRPr="006061F7">
              <w:rPr>
                <w:color w:val="002060"/>
              </w:rPr>
              <w:lastRenderedPageBreak/>
              <w:t>To work cooperatively with other agencies in maintaining an effective servi</w:t>
            </w:r>
            <w:r>
              <w:rPr>
                <w:color w:val="002060"/>
              </w:rPr>
              <w:t xml:space="preserve">ce delivery system for clients, </w:t>
            </w:r>
            <w:r w:rsidRPr="006061F7">
              <w:rPr>
                <w:color w:val="002060"/>
              </w:rPr>
              <w:t>including regular attendance at relevant forums and local and regional meetings.</w:t>
            </w:r>
          </w:p>
          <w:p w:rsidR="00B10981" w:rsidRPr="006061F7" w:rsidRDefault="006061F7" w:rsidP="006061F7">
            <w:pPr>
              <w:pStyle w:val="ListParagraph"/>
              <w:numPr>
                <w:ilvl w:val="0"/>
                <w:numId w:val="34"/>
              </w:numPr>
              <w:jc w:val="both"/>
              <w:rPr>
                <w:color w:val="002060"/>
              </w:rPr>
            </w:pPr>
            <w:r w:rsidRPr="006061F7">
              <w:rPr>
                <w:color w:val="002060"/>
              </w:rPr>
              <w:t>To establish and maintain effective linkages with other services with a specific fo</w:t>
            </w:r>
            <w:r>
              <w:rPr>
                <w:color w:val="002060"/>
              </w:rPr>
              <w:t xml:space="preserve">cus on linkages into integrated </w:t>
            </w:r>
            <w:r w:rsidRPr="006061F7">
              <w:rPr>
                <w:color w:val="002060"/>
              </w:rPr>
              <w:t>family services for further support for the kinship placement.</w:t>
            </w:r>
          </w:p>
        </w:tc>
      </w:tr>
      <w:tr w:rsidR="00F90B46" w:rsidRPr="00F90B46" w:rsidTr="006C6ED3">
        <w:trPr>
          <w:trHeight w:val="328"/>
        </w:trPr>
        <w:tc>
          <w:tcPr>
            <w:tcW w:w="2122" w:type="dxa"/>
            <w:vAlign w:val="center"/>
          </w:tcPr>
          <w:p w:rsidR="001B3324" w:rsidRPr="00F90B46" w:rsidRDefault="006061F7" w:rsidP="00EE55C0">
            <w:pPr>
              <w:rPr>
                <w:b/>
                <w:color w:val="002060"/>
              </w:rPr>
            </w:pPr>
            <w:r w:rsidRPr="006061F7">
              <w:rPr>
                <w:b/>
                <w:color w:val="002060"/>
              </w:rPr>
              <w:lastRenderedPageBreak/>
              <w:t>Agency Participation</w:t>
            </w:r>
          </w:p>
        </w:tc>
        <w:tc>
          <w:tcPr>
            <w:tcW w:w="8334" w:type="dxa"/>
            <w:vAlign w:val="center"/>
          </w:tcPr>
          <w:p w:rsidR="006061F7" w:rsidRPr="006061F7" w:rsidRDefault="006061F7" w:rsidP="006061F7">
            <w:pPr>
              <w:pStyle w:val="ListParagraph"/>
              <w:numPr>
                <w:ilvl w:val="0"/>
                <w:numId w:val="34"/>
              </w:numPr>
              <w:jc w:val="both"/>
              <w:rPr>
                <w:color w:val="002060"/>
              </w:rPr>
            </w:pPr>
            <w:r w:rsidRPr="006061F7">
              <w:rPr>
                <w:color w:val="002060"/>
              </w:rPr>
              <w:t>Participate in regular supervision, review and individual planning.</w:t>
            </w:r>
          </w:p>
          <w:p w:rsidR="006061F7" w:rsidRPr="006061F7" w:rsidRDefault="006061F7" w:rsidP="006061F7">
            <w:pPr>
              <w:pStyle w:val="ListParagraph"/>
              <w:numPr>
                <w:ilvl w:val="0"/>
                <w:numId w:val="34"/>
              </w:numPr>
              <w:jc w:val="both"/>
              <w:rPr>
                <w:color w:val="002060"/>
              </w:rPr>
            </w:pPr>
            <w:r w:rsidRPr="006061F7">
              <w:rPr>
                <w:color w:val="002060"/>
              </w:rPr>
              <w:t xml:space="preserve">Participate and operate effectively within a team environment and attend and </w:t>
            </w:r>
            <w:r>
              <w:rPr>
                <w:color w:val="002060"/>
              </w:rPr>
              <w:t xml:space="preserve">contribute to team meetings and </w:t>
            </w:r>
            <w:r w:rsidRPr="006061F7">
              <w:rPr>
                <w:color w:val="002060"/>
              </w:rPr>
              <w:t>agency staff meetings.</w:t>
            </w:r>
          </w:p>
          <w:p w:rsidR="006061F7" w:rsidRPr="006061F7" w:rsidRDefault="006061F7" w:rsidP="006061F7">
            <w:pPr>
              <w:pStyle w:val="ListParagraph"/>
              <w:numPr>
                <w:ilvl w:val="0"/>
                <w:numId w:val="34"/>
              </w:numPr>
              <w:jc w:val="both"/>
              <w:rPr>
                <w:color w:val="002060"/>
              </w:rPr>
            </w:pPr>
            <w:r w:rsidRPr="006061F7">
              <w:rPr>
                <w:color w:val="002060"/>
              </w:rPr>
              <w:t>Commitment to continuous improvement including involvement in the ongoing ev</w:t>
            </w:r>
            <w:r>
              <w:rPr>
                <w:color w:val="002060"/>
              </w:rPr>
              <w:t xml:space="preserve">aluation and monitoring of both </w:t>
            </w:r>
            <w:r w:rsidRPr="006061F7">
              <w:rPr>
                <w:color w:val="002060"/>
              </w:rPr>
              <w:t>the program's and the agency's service delivery and contribute to future planning.</w:t>
            </w:r>
          </w:p>
          <w:p w:rsidR="001B3324" w:rsidRPr="006061F7" w:rsidRDefault="006061F7" w:rsidP="006061F7">
            <w:pPr>
              <w:pStyle w:val="ListParagraph"/>
              <w:numPr>
                <w:ilvl w:val="0"/>
                <w:numId w:val="34"/>
              </w:numPr>
              <w:jc w:val="both"/>
              <w:rPr>
                <w:color w:val="002060"/>
              </w:rPr>
            </w:pPr>
            <w:r w:rsidRPr="006061F7">
              <w:rPr>
                <w:color w:val="002060"/>
              </w:rPr>
              <w:t>Contribute to Quantum's policy processes in response to local, State and</w:t>
            </w:r>
            <w:r>
              <w:rPr>
                <w:color w:val="002060"/>
              </w:rPr>
              <w:t xml:space="preserve"> Commonwealth Government policy </w:t>
            </w:r>
            <w:r w:rsidRPr="006061F7">
              <w:rPr>
                <w:color w:val="002060"/>
              </w:rPr>
              <w:t>changes and reviews.</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6061F7" w:rsidRDefault="006061F7" w:rsidP="006061F7">
            <w:pPr>
              <w:pStyle w:val="ListParagraph"/>
              <w:numPr>
                <w:ilvl w:val="0"/>
                <w:numId w:val="34"/>
              </w:numPr>
              <w:jc w:val="both"/>
              <w:rPr>
                <w:color w:val="002060"/>
              </w:rPr>
            </w:pPr>
            <w:r w:rsidRPr="006061F7">
              <w:rPr>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w:t>
            </w:r>
          </w:p>
          <w:p w:rsidR="006061F7" w:rsidRPr="006061F7" w:rsidRDefault="006061F7" w:rsidP="006061F7">
            <w:pPr>
              <w:pStyle w:val="ListParagraph"/>
              <w:numPr>
                <w:ilvl w:val="0"/>
                <w:numId w:val="34"/>
              </w:numPr>
              <w:jc w:val="both"/>
              <w:rPr>
                <w:color w:val="002060"/>
              </w:rPr>
            </w:pPr>
            <w:r w:rsidRPr="006061F7">
              <w:rPr>
                <w:color w:val="002060"/>
              </w:rPr>
              <w:t>Compiling client reports on a monthly basis or as requested.</w:t>
            </w:r>
          </w:p>
          <w:p w:rsidR="006061F7" w:rsidRPr="006061F7" w:rsidRDefault="006061F7" w:rsidP="006061F7">
            <w:pPr>
              <w:pStyle w:val="ListParagraph"/>
              <w:numPr>
                <w:ilvl w:val="0"/>
                <w:numId w:val="34"/>
              </w:numPr>
              <w:jc w:val="both"/>
              <w:rPr>
                <w:color w:val="002060"/>
              </w:rPr>
            </w:pPr>
            <w:r w:rsidRPr="006061F7">
              <w:rPr>
                <w:color w:val="002060"/>
              </w:rPr>
              <w:t>Daily &amp; monthly collection of data for both internal and external purposes.</w:t>
            </w:r>
          </w:p>
          <w:p w:rsidR="006061F7" w:rsidRPr="006061F7" w:rsidRDefault="006061F7" w:rsidP="006061F7">
            <w:pPr>
              <w:pStyle w:val="ListParagraph"/>
              <w:numPr>
                <w:ilvl w:val="0"/>
                <w:numId w:val="34"/>
              </w:numPr>
              <w:jc w:val="both"/>
              <w:rPr>
                <w:color w:val="002060"/>
              </w:rPr>
            </w:pPr>
            <w:r w:rsidRPr="006061F7">
              <w:rPr>
                <w:color w:val="002060"/>
              </w:rPr>
              <w:t>Completion of relevant forms in accordance with Quantum policies and procedures.</w:t>
            </w:r>
          </w:p>
          <w:p w:rsidR="006061F7" w:rsidRPr="006061F7" w:rsidRDefault="006061F7" w:rsidP="006061F7">
            <w:pPr>
              <w:pStyle w:val="ListParagraph"/>
              <w:numPr>
                <w:ilvl w:val="0"/>
                <w:numId w:val="34"/>
              </w:numPr>
              <w:jc w:val="both"/>
              <w:rPr>
                <w:color w:val="002060"/>
              </w:rPr>
            </w:pPr>
            <w:r w:rsidRPr="006061F7">
              <w:rPr>
                <w:color w:val="002060"/>
              </w:rPr>
              <w:t>Performing tasks such as filing and correspondence.</w:t>
            </w:r>
          </w:p>
          <w:p w:rsidR="006061F7" w:rsidRDefault="006061F7" w:rsidP="006061F7">
            <w:pPr>
              <w:pStyle w:val="ListParagraph"/>
              <w:numPr>
                <w:ilvl w:val="0"/>
                <w:numId w:val="34"/>
              </w:numPr>
              <w:jc w:val="both"/>
              <w:rPr>
                <w:color w:val="002060"/>
              </w:rPr>
            </w:pPr>
            <w:r w:rsidRPr="006061F7">
              <w:rPr>
                <w:color w:val="002060"/>
              </w:rPr>
              <w:t>Maintaining accurate records.</w:t>
            </w:r>
          </w:p>
          <w:p w:rsidR="00A544E9" w:rsidRPr="006061F7" w:rsidRDefault="006061F7" w:rsidP="006061F7">
            <w:pPr>
              <w:pStyle w:val="ListParagraph"/>
              <w:numPr>
                <w:ilvl w:val="0"/>
                <w:numId w:val="34"/>
              </w:numPr>
              <w:jc w:val="both"/>
              <w:rPr>
                <w:color w:val="002060"/>
              </w:rPr>
            </w:pPr>
            <w:r w:rsidRPr="006061F7">
              <w:rPr>
                <w:color w:val="002060"/>
              </w:rPr>
              <w:t>Maintaining Case Files within the guidelines of the Quantum Service Delivery Manual.</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t>General</w:t>
            </w:r>
          </w:p>
        </w:tc>
        <w:tc>
          <w:tcPr>
            <w:tcW w:w="8334" w:type="dxa"/>
            <w:vAlign w:val="center"/>
          </w:tcPr>
          <w:p w:rsidR="006F3CA5" w:rsidRPr="00BC05EF"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t>Health and Safety</w:t>
            </w:r>
          </w:p>
        </w:tc>
        <w:tc>
          <w:tcPr>
            <w:tcW w:w="8334" w:type="dxa"/>
            <w:vAlign w:val="center"/>
          </w:tcPr>
          <w:p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Pr="00F90B46" w:rsidRDefault="004622C5" w:rsidP="004622C5">
            <w:pPr>
              <w:pStyle w:val="ListParagraph"/>
              <w:rPr>
                <w:b/>
                <w:color w:val="002060"/>
                <w:u w:val="single"/>
              </w:rPr>
            </w:pPr>
            <w:r w:rsidRPr="00F90B46">
              <w:rPr>
                <w:b/>
                <w:color w:val="002060"/>
                <w:u w:val="single"/>
              </w:rPr>
              <w:t>Service Delivery</w:t>
            </w:r>
          </w:p>
          <w:p w:rsidR="004622C5" w:rsidRPr="00F90B46" w:rsidRDefault="004622C5" w:rsidP="004622C5">
            <w:pPr>
              <w:ind w:left="360"/>
              <w:rPr>
                <w:color w:val="002060"/>
              </w:rPr>
            </w:pPr>
          </w:p>
          <w:p w:rsidR="00911104" w:rsidRPr="00911104" w:rsidRDefault="00911104" w:rsidP="00911104">
            <w:pPr>
              <w:pStyle w:val="ListParagraph"/>
              <w:numPr>
                <w:ilvl w:val="0"/>
                <w:numId w:val="36"/>
              </w:numPr>
              <w:rPr>
                <w:color w:val="002060"/>
              </w:rPr>
            </w:pPr>
            <w:r w:rsidRPr="00911104">
              <w:rPr>
                <w:color w:val="002060"/>
              </w:rPr>
              <w:t>Demonstrated understanding of Child Protection matters and legislation relevant</w:t>
            </w:r>
            <w:r>
              <w:rPr>
                <w:color w:val="002060"/>
              </w:rPr>
              <w:t xml:space="preserve"> to the Out of Home Care space, </w:t>
            </w:r>
            <w:r w:rsidRPr="00911104">
              <w:rPr>
                <w:color w:val="002060"/>
              </w:rPr>
              <w:t>specifically Kinship Care.</w:t>
            </w:r>
          </w:p>
          <w:p w:rsidR="00911104" w:rsidRPr="00911104" w:rsidRDefault="00911104" w:rsidP="00911104">
            <w:pPr>
              <w:pStyle w:val="ListParagraph"/>
              <w:numPr>
                <w:ilvl w:val="0"/>
                <w:numId w:val="36"/>
              </w:numPr>
              <w:rPr>
                <w:color w:val="002060"/>
              </w:rPr>
            </w:pPr>
            <w:r w:rsidRPr="00911104">
              <w:rPr>
                <w:color w:val="002060"/>
              </w:rPr>
              <w:t>Demonstrated understanding of the unique support requirements of a Kinship C</w:t>
            </w:r>
            <w:r>
              <w:rPr>
                <w:color w:val="002060"/>
              </w:rPr>
              <w:t xml:space="preserve">are placement compared to other </w:t>
            </w:r>
            <w:r w:rsidRPr="00911104">
              <w:rPr>
                <w:color w:val="002060"/>
              </w:rPr>
              <w:t>Out of Home Care settings</w:t>
            </w:r>
            <w:r>
              <w:rPr>
                <w:color w:val="002060"/>
              </w:rPr>
              <w:t>.</w:t>
            </w:r>
          </w:p>
          <w:p w:rsidR="00911104" w:rsidRPr="00911104" w:rsidRDefault="00911104" w:rsidP="00911104">
            <w:pPr>
              <w:pStyle w:val="ListParagraph"/>
              <w:numPr>
                <w:ilvl w:val="0"/>
                <w:numId w:val="36"/>
              </w:numPr>
              <w:rPr>
                <w:color w:val="002060"/>
              </w:rPr>
            </w:pPr>
            <w:r w:rsidRPr="00911104">
              <w:rPr>
                <w:color w:val="002060"/>
              </w:rPr>
              <w:t>A demonstrated knowledge and understanding of issues surrounding the out-o</w:t>
            </w:r>
            <w:r>
              <w:rPr>
                <w:color w:val="002060"/>
              </w:rPr>
              <w:t xml:space="preserve">f-home care and family services </w:t>
            </w:r>
            <w:r w:rsidRPr="00911104">
              <w:rPr>
                <w:color w:val="002060"/>
              </w:rPr>
              <w:t>system and the available resources and services in Gippsland.</w:t>
            </w:r>
          </w:p>
          <w:p w:rsidR="00911104" w:rsidRPr="00911104" w:rsidRDefault="00911104" w:rsidP="00911104">
            <w:pPr>
              <w:pStyle w:val="ListParagraph"/>
              <w:numPr>
                <w:ilvl w:val="0"/>
                <w:numId w:val="36"/>
              </w:numPr>
              <w:rPr>
                <w:color w:val="002060"/>
              </w:rPr>
            </w:pPr>
            <w:r w:rsidRPr="00911104">
              <w:rPr>
                <w:color w:val="002060"/>
              </w:rPr>
              <w:t>Demonstrated understanding of trauma informed practice and how this applies spec</w:t>
            </w:r>
            <w:r>
              <w:rPr>
                <w:color w:val="002060"/>
              </w:rPr>
              <w:t xml:space="preserve">ifically to children, youth and </w:t>
            </w:r>
            <w:r w:rsidRPr="00911104">
              <w:rPr>
                <w:color w:val="002060"/>
              </w:rPr>
              <w:t>families involved in kinship care</w:t>
            </w:r>
          </w:p>
          <w:p w:rsidR="00911104" w:rsidRPr="00911104" w:rsidRDefault="00911104" w:rsidP="00911104">
            <w:pPr>
              <w:pStyle w:val="ListParagraph"/>
              <w:numPr>
                <w:ilvl w:val="0"/>
                <w:numId w:val="36"/>
              </w:numPr>
              <w:rPr>
                <w:color w:val="002060"/>
              </w:rPr>
            </w:pPr>
            <w:r w:rsidRPr="00911104">
              <w:rPr>
                <w:color w:val="002060"/>
              </w:rPr>
              <w:t>Demonstrated ability to communicate effectively with adults, adolescents, children and sector representatives.</w:t>
            </w:r>
          </w:p>
          <w:p w:rsidR="00911104" w:rsidRPr="00911104" w:rsidRDefault="00911104" w:rsidP="00911104">
            <w:pPr>
              <w:pStyle w:val="ListParagraph"/>
              <w:numPr>
                <w:ilvl w:val="0"/>
                <w:numId w:val="36"/>
              </w:numPr>
              <w:rPr>
                <w:color w:val="002060"/>
              </w:rPr>
            </w:pPr>
            <w:r w:rsidRPr="00911104">
              <w:rPr>
                <w:color w:val="002060"/>
              </w:rPr>
              <w:t>Experience in the provision of support to children, youth and their families with multiple and complex needs.</w:t>
            </w:r>
          </w:p>
          <w:p w:rsidR="00911104" w:rsidRPr="00911104" w:rsidRDefault="00911104" w:rsidP="00911104">
            <w:pPr>
              <w:pStyle w:val="ListParagraph"/>
              <w:numPr>
                <w:ilvl w:val="0"/>
                <w:numId w:val="36"/>
              </w:numPr>
              <w:rPr>
                <w:color w:val="002060"/>
              </w:rPr>
            </w:pPr>
            <w:r>
              <w:rPr>
                <w:color w:val="002060"/>
              </w:rPr>
              <w:t>S</w:t>
            </w:r>
            <w:r w:rsidRPr="00911104">
              <w:rPr>
                <w:color w:val="002060"/>
              </w:rPr>
              <w:t>kills in needs, risk and safety assessments of children, young people and their pa</w:t>
            </w:r>
            <w:r>
              <w:rPr>
                <w:color w:val="002060"/>
              </w:rPr>
              <w:t xml:space="preserve">rents within the context of the </w:t>
            </w:r>
            <w:r w:rsidRPr="00911104">
              <w:rPr>
                <w:color w:val="002060"/>
              </w:rPr>
              <w:t>Best Interest Framework.</w:t>
            </w:r>
          </w:p>
          <w:p w:rsidR="00911104" w:rsidRPr="00911104" w:rsidRDefault="00911104" w:rsidP="00911104">
            <w:pPr>
              <w:pStyle w:val="ListParagraph"/>
              <w:numPr>
                <w:ilvl w:val="0"/>
                <w:numId w:val="36"/>
              </w:numPr>
              <w:rPr>
                <w:color w:val="002060"/>
              </w:rPr>
            </w:pPr>
            <w:r w:rsidRPr="00911104">
              <w:rPr>
                <w:color w:val="002060"/>
              </w:rPr>
              <w:t>Demonstrated ability to prepare written assessments which include analysis and recommendations</w:t>
            </w:r>
            <w:r>
              <w:rPr>
                <w:color w:val="002060"/>
              </w:rPr>
              <w:t>.</w:t>
            </w:r>
          </w:p>
          <w:p w:rsidR="00911104" w:rsidRPr="00911104" w:rsidRDefault="00911104" w:rsidP="00911104">
            <w:pPr>
              <w:pStyle w:val="ListParagraph"/>
              <w:numPr>
                <w:ilvl w:val="0"/>
                <w:numId w:val="36"/>
              </w:numPr>
              <w:rPr>
                <w:color w:val="002060"/>
              </w:rPr>
            </w:pPr>
            <w:r w:rsidRPr="00911104">
              <w:rPr>
                <w:color w:val="002060"/>
              </w:rPr>
              <w:t>Ability to demonstrate and genuinely promote Quantum's values</w:t>
            </w:r>
          </w:p>
          <w:p w:rsidR="00911104" w:rsidRDefault="00911104" w:rsidP="00911104">
            <w:pPr>
              <w:pStyle w:val="ListParagraph"/>
              <w:numPr>
                <w:ilvl w:val="0"/>
                <w:numId w:val="36"/>
              </w:numPr>
              <w:rPr>
                <w:color w:val="002060"/>
              </w:rPr>
            </w:pPr>
            <w:r w:rsidRPr="00911104">
              <w:rPr>
                <w:color w:val="002060"/>
              </w:rPr>
              <w:t>Commitment to collaborative multi-program and agency work practices</w:t>
            </w:r>
            <w:r>
              <w:rPr>
                <w:color w:val="002060"/>
              </w:rPr>
              <w:t>.</w:t>
            </w:r>
          </w:p>
          <w:p w:rsidR="00911104" w:rsidRPr="00911104" w:rsidRDefault="00911104" w:rsidP="00911104">
            <w:pPr>
              <w:pStyle w:val="ListParagraph"/>
              <w:numPr>
                <w:ilvl w:val="0"/>
                <w:numId w:val="36"/>
              </w:numPr>
              <w:rPr>
                <w:color w:val="002060"/>
              </w:rPr>
            </w:pPr>
            <w:r w:rsidRPr="00911104">
              <w:rPr>
                <w:color w:val="002060"/>
              </w:rPr>
              <w:lastRenderedPageBreak/>
              <w:t>Strong understanding of Child, Youth and Families Act 2015 and the Best Interest Principles Framework.</w:t>
            </w:r>
          </w:p>
          <w:p w:rsidR="001A5A25" w:rsidRPr="00F90B46" w:rsidRDefault="00911104" w:rsidP="00911104">
            <w:pPr>
              <w:pStyle w:val="ListParagraph"/>
              <w:numPr>
                <w:ilvl w:val="0"/>
                <w:numId w:val="36"/>
              </w:numPr>
              <w:rPr>
                <w:color w:val="002060"/>
              </w:rPr>
            </w:pPr>
            <w:r w:rsidRPr="00911104">
              <w:rPr>
                <w:color w:val="002060"/>
              </w:rPr>
              <w:t xml:space="preserve">Proven track record in engaging hard to reach' </w:t>
            </w:r>
            <w:r>
              <w:rPr>
                <w:color w:val="002060"/>
              </w:rPr>
              <w:t>families and assertive outreach.</w:t>
            </w:r>
          </w:p>
          <w:p w:rsidR="00B77986" w:rsidRPr="00F90B46" w:rsidRDefault="00B77986" w:rsidP="004622C5">
            <w:pPr>
              <w:pStyle w:val="ListParagraph"/>
              <w:rPr>
                <w:color w:val="002060"/>
              </w:rPr>
            </w:pPr>
          </w:p>
          <w:p w:rsidR="004622C5" w:rsidRPr="00F90B46" w:rsidRDefault="00A544E9" w:rsidP="004622C5">
            <w:pPr>
              <w:pStyle w:val="ListParagraph"/>
              <w:rPr>
                <w:b/>
                <w:color w:val="002060"/>
                <w:u w:val="single"/>
              </w:rPr>
            </w:pPr>
            <w:r w:rsidRPr="00F90B46">
              <w:rPr>
                <w:b/>
                <w:color w:val="002060"/>
                <w:u w:val="single"/>
              </w:rPr>
              <w:t xml:space="preserve">General </w:t>
            </w:r>
          </w:p>
          <w:p w:rsidR="004622C5" w:rsidRPr="00F90B46" w:rsidRDefault="004622C5" w:rsidP="004622C5">
            <w:pPr>
              <w:rPr>
                <w:color w:val="002060"/>
              </w:rPr>
            </w:pPr>
          </w:p>
          <w:p w:rsidR="004622C5" w:rsidRPr="00F90B46" w:rsidRDefault="00A544E9" w:rsidP="004622C5">
            <w:pPr>
              <w:pStyle w:val="ListParagraph"/>
              <w:numPr>
                <w:ilvl w:val="0"/>
                <w:numId w:val="36"/>
              </w:numPr>
              <w:rPr>
                <w:color w:val="002060"/>
              </w:rPr>
            </w:pPr>
            <w:r w:rsidRPr="00F90B46">
              <w:rPr>
                <w:color w:val="002060"/>
              </w:rPr>
              <w:t xml:space="preserve">Excellent </w:t>
            </w:r>
            <w:r w:rsidR="004622C5" w:rsidRPr="00F90B46">
              <w:rPr>
                <w:color w:val="002060"/>
              </w:rPr>
              <w:t>literacy and computer skills.</w:t>
            </w:r>
          </w:p>
          <w:p w:rsidR="004622C5" w:rsidRPr="00F90B46" w:rsidRDefault="00A544E9" w:rsidP="004622C5">
            <w:pPr>
              <w:pStyle w:val="ListParagraph"/>
              <w:numPr>
                <w:ilvl w:val="0"/>
                <w:numId w:val="36"/>
              </w:numPr>
              <w:rPr>
                <w:color w:val="002060"/>
              </w:rPr>
            </w:pPr>
            <w:r w:rsidRPr="00F90B46">
              <w:rPr>
                <w:color w:val="002060"/>
              </w:rPr>
              <w:t>Ability to work with minim</w:t>
            </w:r>
            <w:r w:rsidR="004622C5" w:rsidRPr="00F90B46">
              <w:rPr>
                <w:color w:val="002060"/>
              </w:rPr>
              <w:t>al direction and supervision.</w:t>
            </w:r>
          </w:p>
          <w:p w:rsidR="0016120C" w:rsidRPr="00F90B46" w:rsidRDefault="00A544E9" w:rsidP="004622C5">
            <w:pPr>
              <w:pStyle w:val="ListParagraph"/>
              <w:numPr>
                <w:ilvl w:val="0"/>
                <w:numId w:val="36"/>
              </w:numPr>
              <w:rPr>
                <w:color w:val="002060"/>
              </w:rPr>
            </w:pPr>
            <w:r w:rsidRPr="00F90B46">
              <w:rPr>
                <w:color w:val="002060"/>
              </w:rPr>
              <w:t>Excellent time management skills</w:t>
            </w:r>
            <w:r w:rsidR="004622C5" w:rsidRPr="00F90B46">
              <w:rPr>
                <w:color w:val="002060"/>
              </w:rPr>
              <w:t>.</w:t>
            </w:r>
          </w:p>
          <w:p w:rsidR="007613E4" w:rsidRPr="00F90B46" w:rsidRDefault="007613E4" w:rsidP="004622C5">
            <w:pPr>
              <w:pStyle w:val="ListParagraph"/>
              <w:numPr>
                <w:ilvl w:val="0"/>
                <w:numId w:val="36"/>
              </w:numPr>
              <w:rPr>
                <w:color w:val="002060"/>
              </w:rPr>
            </w:pPr>
            <w:r w:rsidRPr="00F90B46">
              <w:rPr>
                <w:color w:val="002060"/>
              </w:rPr>
              <w:t>Enthusiasm, energy and interpersonal skills.</w:t>
            </w:r>
          </w:p>
          <w:p w:rsidR="004622C5" w:rsidRPr="00F90B46" w:rsidRDefault="004622C5" w:rsidP="004622C5">
            <w:pPr>
              <w:pStyle w:val="ListParagraph"/>
              <w:ind w:left="1080"/>
              <w:rPr>
                <w:color w:val="002060"/>
              </w:rPr>
            </w:pP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A544E9" w:rsidRPr="00F90B46" w:rsidRDefault="00A544E9" w:rsidP="00BC05EF">
            <w:pPr>
              <w:pStyle w:val="ListParagraph"/>
              <w:numPr>
                <w:ilvl w:val="0"/>
                <w:numId w:val="34"/>
              </w:numPr>
              <w:jc w:val="both"/>
              <w:rPr>
                <w:color w:val="002060"/>
              </w:rPr>
            </w:pPr>
            <w:r w:rsidRPr="00F90B46">
              <w:rPr>
                <w:color w:val="002060"/>
              </w:rPr>
              <w:t>Minimum requirement of Diploma of Community Services or other relevant or appropriate tertiary qualifications and/or experience relevant to this position.</w:t>
            </w:r>
          </w:p>
          <w:p w:rsidR="00A544E9" w:rsidRPr="00F90B46" w:rsidRDefault="00A544E9" w:rsidP="00BC05EF">
            <w:pPr>
              <w:pStyle w:val="ListParagraph"/>
              <w:numPr>
                <w:ilvl w:val="0"/>
                <w:numId w:val="34"/>
              </w:numPr>
              <w:jc w:val="both"/>
              <w:rPr>
                <w:color w:val="002060"/>
              </w:rPr>
            </w:pPr>
            <w:r w:rsidRPr="00F90B46">
              <w:rPr>
                <w:color w:val="002060"/>
              </w:rPr>
              <w:t>Completed application must address the key selection criteria, include a current resume that contains or has attached, the name, address and telephone numbers of three referees.</w:t>
            </w:r>
          </w:p>
        </w:tc>
      </w:tr>
      <w:tr w:rsidR="0016120C" w:rsidRPr="00F90B46" w:rsidTr="00EE55C0">
        <w:trPr>
          <w:trHeight w:val="328"/>
        </w:trPr>
        <w:tc>
          <w:tcPr>
            <w:tcW w:w="2122" w:type="dxa"/>
            <w:vAlign w:val="center"/>
          </w:tcPr>
          <w:p w:rsidR="0016120C" w:rsidRPr="00F90B46" w:rsidRDefault="0016120C" w:rsidP="00EE55C0">
            <w:pPr>
              <w:rPr>
                <w:b/>
                <w:color w:val="002060"/>
              </w:rPr>
            </w:pPr>
            <w:r w:rsidRPr="00F90B46">
              <w:rPr>
                <w:b/>
                <w:color w:val="002060"/>
              </w:rPr>
              <w:t>Desired</w:t>
            </w:r>
          </w:p>
        </w:tc>
        <w:tc>
          <w:tcPr>
            <w:tcW w:w="8334" w:type="dxa"/>
            <w:vAlign w:val="center"/>
          </w:tcPr>
          <w:p w:rsidR="0016120C" w:rsidRPr="00F90B46" w:rsidRDefault="0016120C" w:rsidP="00B77986">
            <w:pPr>
              <w:rPr>
                <w:color w:val="002060"/>
              </w:rPr>
            </w:pPr>
          </w:p>
        </w:tc>
      </w:tr>
    </w:tbl>
    <w:p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620632" w:rsidRPr="00F90B46" w:rsidRDefault="00620632" w:rsidP="00BC05EF">
            <w:pPr>
              <w:pStyle w:val="ListParagraph"/>
              <w:numPr>
                <w:ilvl w:val="0"/>
                <w:numId w:val="34"/>
              </w:numPr>
              <w:jc w:val="both"/>
              <w:rPr>
                <w:color w:val="002060"/>
              </w:rPr>
            </w:pPr>
            <w:r w:rsidRPr="00F90B46">
              <w:rPr>
                <w:color w:val="002060"/>
              </w:rPr>
              <w:t>Current Working with Children Check (full not voluntary)</w:t>
            </w:r>
          </w:p>
          <w:p w:rsidR="00620632" w:rsidRPr="00F90B46" w:rsidRDefault="00620632" w:rsidP="00BC05EF">
            <w:pPr>
              <w:pStyle w:val="ListParagraph"/>
              <w:numPr>
                <w:ilvl w:val="0"/>
                <w:numId w:val="34"/>
              </w:numPr>
              <w:jc w:val="both"/>
              <w:rPr>
                <w:color w:val="002060"/>
              </w:rPr>
            </w:pPr>
            <w:r w:rsidRPr="00F90B46">
              <w:rPr>
                <w:color w:val="002060"/>
              </w:rPr>
              <w:t xml:space="preserve">Current Victorian Police Check (with no findings) </w:t>
            </w:r>
          </w:p>
          <w:p w:rsidR="00620632" w:rsidRPr="00F90B46" w:rsidRDefault="00620632" w:rsidP="00BC05EF">
            <w:pPr>
              <w:pStyle w:val="ListParagraph"/>
              <w:numPr>
                <w:ilvl w:val="0"/>
                <w:numId w:val="34"/>
              </w:numPr>
              <w:jc w:val="both"/>
              <w:rPr>
                <w:color w:val="002060"/>
              </w:rPr>
            </w:pPr>
            <w:r w:rsidRPr="00F90B46">
              <w:rPr>
                <w:color w:val="002060"/>
              </w:rPr>
              <w:t>Compliance with Quantum</w:t>
            </w:r>
            <w:r w:rsidR="00987B5E" w:rsidRPr="00F90B46">
              <w:rPr>
                <w:color w:val="002060"/>
              </w:rPr>
              <w:t>’</w:t>
            </w:r>
            <w:r w:rsidRPr="00F90B46">
              <w:rPr>
                <w:color w:val="002060"/>
              </w:rPr>
              <w:t xml:space="preserve">s </w:t>
            </w:r>
            <w:r w:rsidR="00987B5E" w:rsidRPr="00F90B46">
              <w:rPr>
                <w:color w:val="002060"/>
              </w:rPr>
              <w:t>Child Safe Standards</w:t>
            </w:r>
          </w:p>
          <w:p w:rsidR="00C3184F" w:rsidRPr="00F90B46" w:rsidRDefault="00C3184F" w:rsidP="00BC05EF">
            <w:pPr>
              <w:pStyle w:val="ListParagraph"/>
              <w:numPr>
                <w:ilvl w:val="0"/>
                <w:numId w:val="34"/>
              </w:numPr>
              <w:jc w:val="both"/>
              <w:rPr>
                <w:color w:val="002060"/>
              </w:rPr>
            </w:pPr>
            <w:r w:rsidRPr="00F90B46">
              <w:rPr>
                <w:color w:val="002060"/>
              </w:rPr>
              <w:t>The successful applicant must hold a</w:t>
            </w:r>
            <w:r w:rsidR="007C3204" w:rsidRPr="00F90B46">
              <w:rPr>
                <w:color w:val="002060"/>
              </w:rPr>
              <w:t xml:space="preserve"> valid Victorian Driver's Licence</w:t>
            </w:r>
            <w:r w:rsidRPr="00F90B46">
              <w:rPr>
                <w:color w:val="002060"/>
              </w:rPr>
              <w:t xml:space="preserve"> that is not at risk of cancellation.</w:t>
            </w:r>
          </w:p>
          <w:p w:rsidR="00C3184F" w:rsidRPr="00F90B46" w:rsidRDefault="00C3184F" w:rsidP="00BC05EF">
            <w:pPr>
              <w:pStyle w:val="ListParagraph"/>
              <w:numPr>
                <w:ilvl w:val="0"/>
                <w:numId w:val="34"/>
              </w:numPr>
              <w:jc w:val="both"/>
              <w:rPr>
                <w:color w:val="002060"/>
              </w:rPr>
            </w:pPr>
            <w:r w:rsidRPr="00F90B46">
              <w:rPr>
                <w:color w:val="002060"/>
              </w:rPr>
              <w:t>The successful applicant is required to comply with the policies of Quantum Support Services Inc.</w:t>
            </w:r>
          </w:p>
          <w:p w:rsidR="00201A5C" w:rsidRPr="00F90B46" w:rsidRDefault="00201A5C" w:rsidP="00BC05EF">
            <w:pPr>
              <w:pStyle w:val="ListParagraph"/>
              <w:numPr>
                <w:ilvl w:val="0"/>
                <w:numId w:val="34"/>
              </w:numPr>
              <w:jc w:val="both"/>
              <w:rPr>
                <w:color w:val="002060"/>
              </w:rPr>
            </w:pPr>
            <w:r w:rsidRPr="00F90B46">
              <w:rPr>
                <w:color w:val="002060"/>
              </w:rPr>
              <w:t>This position is subject to an annual Review.</w:t>
            </w:r>
          </w:p>
        </w:tc>
      </w:tr>
    </w:tbl>
    <w:p w:rsidR="00620632" w:rsidRPr="00F90B46"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F90B46" w:rsidRPr="00F90B46" w:rsidTr="00EE55C0">
        <w:trPr>
          <w:trHeight w:val="384"/>
        </w:trPr>
        <w:tc>
          <w:tcPr>
            <w:tcW w:w="10456" w:type="dxa"/>
            <w:gridSpan w:val="4"/>
            <w:shd w:val="clear" w:color="auto" w:fill="5B9BD5" w:themeFill="accent1"/>
            <w:vAlign w:val="center"/>
          </w:tcPr>
          <w:p w:rsidR="00AA4F69" w:rsidRPr="00F90B46" w:rsidRDefault="00AA4F69" w:rsidP="00EE55C0">
            <w:pPr>
              <w:rPr>
                <w:color w:val="002060"/>
              </w:rPr>
            </w:pPr>
            <w:r w:rsidRPr="00F90B46">
              <w:rPr>
                <w:b/>
                <w:color w:val="002060"/>
              </w:rPr>
              <w:t xml:space="preserve">Acknowledgement </w:t>
            </w:r>
          </w:p>
        </w:tc>
      </w:tr>
      <w:tr w:rsidR="00F90B46" w:rsidRPr="00F90B46" w:rsidTr="00AA4F69">
        <w:trPr>
          <w:trHeight w:val="416"/>
        </w:trPr>
        <w:tc>
          <w:tcPr>
            <w:tcW w:w="10456" w:type="dxa"/>
            <w:gridSpan w:val="4"/>
            <w:vAlign w:val="center"/>
          </w:tcPr>
          <w:p w:rsidR="00AA4F69" w:rsidRPr="00F90B46" w:rsidRDefault="00AA4F69" w:rsidP="00AA4F69">
            <w:pPr>
              <w:rPr>
                <w:color w:val="002060"/>
              </w:rPr>
            </w:pPr>
            <w:r w:rsidRPr="00F90B46">
              <w:rPr>
                <w:color w:val="002060"/>
              </w:rPr>
              <w:t>Please sign and date to acknowledge you have read and understood this position description.</w:t>
            </w:r>
          </w:p>
        </w:tc>
      </w:tr>
      <w:tr w:rsidR="00F90B46" w:rsidRPr="00F90B46" w:rsidTr="00AA4F69">
        <w:trPr>
          <w:trHeight w:val="692"/>
        </w:trPr>
        <w:tc>
          <w:tcPr>
            <w:tcW w:w="2689" w:type="dxa"/>
            <w:vAlign w:val="center"/>
          </w:tcPr>
          <w:p w:rsidR="00AA4F69" w:rsidRPr="00F90B46" w:rsidRDefault="00AA4F69" w:rsidP="00EE55C0">
            <w:pPr>
              <w:rPr>
                <w:b/>
                <w:color w:val="002060"/>
              </w:rPr>
            </w:pPr>
            <w:r w:rsidRPr="00F90B46">
              <w:rPr>
                <w:b/>
                <w:color w:val="002060"/>
              </w:rPr>
              <w:t>Name (employee)</w:t>
            </w:r>
          </w:p>
        </w:tc>
        <w:tc>
          <w:tcPr>
            <w:tcW w:w="3260" w:type="dxa"/>
            <w:vAlign w:val="center"/>
          </w:tcPr>
          <w:p w:rsidR="00AA4F69" w:rsidRPr="00F90B46" w:rsidRDefault="00AA4F69" w:rsidP="00AA4F69">
            <w:pPr>
              <w:pStyle w:val="ListParagraph"/>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pStyle w:val="ListParagraph"/>
              <w:rPr>
                <w:color w:val="002060"/>
              </w:rPr>
            </w:pPr>
          </w:p>
        </w:tc>
      </w:tr>
      <w:tr w:rsidR="00AA4F69" w:rsidRPr="00F90B46" w:rsidTr="00AA4F69">
        <w:trPr>
          <w:trHeight w:val="628"/>
        </w:trPr>
        <w:tc>
          <w:tcPr>
            <w:tcW w:w="2689" w:type="dxa"/>
            <w:vAlign w:val="center"/>
          </w:tcPr>
          <w:p w:rsidR="00AA4F69" w:rsidRPr="00F90B46" w:rsidRDefault="00AA4F69" w:rsidP="00EE55C0">
            <w:pPr>
              <w:rPr>
                <w:b/>
                <w:color w:val="002060"/>
              </w:rPr>
            </w:pPr>
            <w:r w:rsidRPr="00F90B46">
              <w:rPr>
                <w:b/>
                <w:color w:val="002060"/>
              </w:rPr>
              <w:t>Name (line-manager)</w:t>
            </w:r>
          </w:p>
        </w:tc>
        <w:tc>
          <w:tcPr>
            <w:tcW w:w="3260" w:type="dxa"/>
            <w:vAlign w:val="center"/>
          </w:tcPr>
          <w:p w:rsidR="00AA4F69" w:rsidRPr="00F90B46" w:rsidRDefault="00AA4F69" w:rsidP="00AA4F69">
            <w:pPr>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rPr>
                <w:color w:val="002060"/>
              </w:rPr>
            </w:pPr>
          </w:p>
        </w:tc>
      </w:tr>
    </w:tbl>
    <w:p w:rsidR="0076436D" w:rsidRPr="00F90B46" w:rsidRDefault="0076436D">
      <w:pPr>
        <w:rPr>
          <w:color w:val="002060"/>
        </w:rPr>
      </w:pPr>
    </w:p>
    <w:p w:rsidR="00914508" w:rsidRPr="00F90B46" w:rsidRDefault="00914508">
      <w:pPr>
        <w:rPr>
          <w:color w:val="002060"/>
        </w:rPr>
      </w:pP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F90B46" w:rsidRPr="00F90B46" w:rsidTr="004940F6">
        <w:tc>
          <w:tcPr>
            <w:tcW w:w="2737" w:type="dxa"/>
          </w:tcPr>
          <w:p w:rsidR="004940F6" w:rsidRPr="00F90B46" w:rsidRDefault="00911104">
            <w:pPr>
              <w:rPr>
                <w:color w:val="002060"/>
              </w:rPr>
            </w:pPr>
            <w:r>
              <w:rPr>
                <w:color w:val="002060"/>
              </w:rPr>
              <w:t xml:space="preserve">Position Created </w:t>
            </w:r>
          </w:p>
        </w:tc>
        <w:tc>
          <w:tcPr>
            <w:tcW w:w="1760" w:type="dxa"/>
          </w:tcPr>
          <w:p w:rsidR="004940F6" w:rsidRPr="00F90B46" w:rsidRDefault="00911104">
            <w:pPr>
              <w:rPr>
                <w:color w:val="002060"/>
              </w:rPr>
            </w:pPr>
            <w:r>
              <w:rPr>
                <w:color w:val="002060"/>
              </w:rPr>
              <w:t>1.</w:t>
            </w:r>
          </w:p>
        </w:tc>
        <w:tc>
          <w:tcPr>
            <w:tcW w:w="2899" w:type="dxa"/>
          </w:tcPr>
          <w:p w:rsidR="004940F6" w:rsidRPr="00F90B46" w:rsidRDefault="00911104">
            <w:pPr>
              <w:rPr>
                <w:color w:val="002060"/>
              </w:rPr>
            </w:pPr>
            <w:r>
              <w:rPr>
                <w:color w:val="002060"/>
              </w:rPr>
              <w:t>4</w:t>
            </w:r>
            <w:r w:rsidRPr="00911104">
              <w:rPr>
                <w:color w:val="002060"/>
                <w:vertAlign w:val="superscript"/>
              </w:rPr>
              <w:t>th</w:t>
            </w:r>
            <w:r>
              <w:rPr>
                <w:color w:val="002060"/>
              </w:rPr>
              <w:t xml:space="preserve"> December 2020</w:t>
            </w:r>
          </w:p>
        </w:tc>
        <w:tc>
          <w:tcPr>
            <w:tcW w:w="3060" w:type="dxa"/>
          </w:tcPr>
          <w:p w:rsidR="004940F6" w:rsidRPr="00F90B46" w:rsidRDefault="00911104">
            <w:pPr>
              <w:rPr>
                <w:color w:val="002060"/>
              </w:rPr>
            </w:pPr>
            <w:r>
              <w:rPr>
                <w:color w:val="002060"/>
              </w:rPr>
              <w:t>4</w:t>
            </w:r>
            <w:r w:rsidRPr="00911104">
              <w:rPr>
                <w:color w:val="002060"/>
                <w:vertAlign w:val="superscript"/>
              </w:rPr>
              <w:t>th</w:t>
            </w:r>
            <w:r>
              <w:rPr>
                <w:color w:val="002060"/>
              </w:rPr>
              <w:t xml:space="preserve"> December 2023</w:t>
            </w: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964C7"/>
    <w:multiLevelType w:val="hybridMultilevel"/>
    <w:tmpl w:val="D83AB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504198"/>
    <w:multiLevelType w:val="hybridMultilevel"/>
    <w:tmpl w:val="67C45C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2"/>
  </w:num>
  <w:num w:numId="4">
    <w:abstractNumId w:val="40"/>
  </w:num>
  <w:num w:numId="5">
    <w:abstractNumId w:val="17"/>
  </w:num>
  <w:num w:numId="6">
    <w:abstractNumId w:val="26"/>
  </w:num>
  <w:num w:numId="7">
    <w:abstractNumId w:val="28"/>
  </w:num>
  <w:num w:numId="8">
    <w:abstractNumId w:val="34"/>
  </w:num>
  <w:num w:numId="9">
    <w:abstractNumId w:val="37"/>
  </w:num>
  <w:num w:numId="10">
    <w:abstractNumId w:val="0"/>
  </w:num>
  <w:num w:numId="11">
    <w:abstractNumId w:val="19"/>
  </w:num>
  <w:num w:numId="12">
    <w:abstractNumId w:val="10"/>
  </w:num>
  <w:num w:numId="13">
    <w:abstractNumId w:val="6"/>
  </w:num>
  <w:num w:numId="14">
    <w:abstractNumId w:val="35"/>
  </w:num>
  <w:num w:numId="15">
    <w:abstractNumId w:val="32"/>
  </w:num>
  <w:num w:numId="16">
    <w:abstractNumId w:val="13"/>
  </w:num>
  <w:num w:numId="17">
    <w:abstractNumId w:val="1"/>
  </w:num>
  <w:num w:numId="18">
    <w:abstractNumId w:val="9"/>
  </w:num>
  <w:num w:numId="19">
    <w:abstractNumId w:val="36"/>
  </w:num>
  <w:num w:numId="20">
    <w:abstractNumId w:val="23"/>
  </w:num>
  <w:num w:numId="21">
    <w:abstractNumId w:val="39"/>
  </w:num>
  <w:num w:numId="22">
    <w:abstractNumId w:val="20"/>
  </w:num>
  <w:num w:numId="23">
    <w:abstractNumId w:val="14"/>
  </w:num>
  <w:num w:numId="24">
    <w:abstractNumId w:val="8"/>
  </w:num>
  <w:num w:numId="25">
    <w:abstractNumId w:val="2"/>
  </w:num>
  <w:num w:numId="26">
    <w:abstractNumId w:val="29"/>
  </w:num>
  <w:num w:numId="27">
    <w:abstractNumId w:val="25"/>
  </w:num>
  <w:num w:numId="28">
    <w:abstractNumId w:val="30"/>
  </w:num>
  <w:num w:numId="29">
    <w:abstractNumId w:val="24"/>
  </w:num>
  <w:num w:numId="30">
    <w:abstractNumId w:val="42"/>
  </w:num>
  <w:num w:numId="31">
    <w:abstractNumId w:val="27"/>
  </w:num>
  <w:num w:numId="32">
    <w:abstractNumId w:val="33"/>
  </w:num>
  <w:num w:numId="33">
    <w:abstractNumId w:val="11"/>
  </w:num>
  <w:num w:numId="34">
    <w:abstractNumId w:val="4"/>
  </w:num>
  <w:num w:numId="35">
    <w:abstractNumId w:val="5"/>
  </w:num>
  <w:num w:numId="36">
    <w:abstractNumId w:val="3"/>
  </w:num>
  <w:num w:numId="37">
    <w:abstractNumId w:val="41"/>
  </w:num>
  <w:num w:numId="38">
    <w:abstractNumId w:val="7"/>
  </w:num>
  <w:num w:numId="39">
    <w:abstractNumId w:val="18"/>
  </w:num>
  <w:num w:numId="40">
    <w:abstractNumId w:val="22"/>
  </w:num>
  <w:num w:numId="41">
    <w:abstractNumId w:val="38"/>
  </w:num>
  <w:num w:numId="42">
    <w:abstractNumId w:val="2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0E2578"/>
    <w:rsid w:val="0016120C"/>
    <w:rsid w:val="00162805"/>
    <w:rsid w:val="00195902"/>
    <w:rsid w:val="001A5A25"/>
    <w:rsid w:val="001B3324"/>
    <w:rsid w:val="001B5130"/>
    <w:rsid w:val="001C1A3B"/>
    <w:rsid w:val="001F65CE"/>
    <w:rsid w:val="00201A5C"/>
    <w:rsid w:val="00226B88"/>
    <w:rsid w:val="002558BD"/>
    <w:rsid w:val="00271E4F"/>
    <w:rsid w:val="002A29E5"/>
    <w:rsid w:val="002C0861"/>
    <w:rsid w:val="002C1CB3"/>
    <w:rsid w:val="002E5DC9"/>
    <w:rsid w:val="00332D75"/>
    <w:rsid w:val="00377270"/>
    <w:rsid w:val="004622C5"/>
    <w:rsid w:val="0048014D"/>
    <w:rsid w:val="004940F6"/>
    <w:rsid w:val="004D1B50"/>
    <w:rsid w:val="00502430"/>
    <w:rsid w:val="00502E45"/>
    <w:rsid w:val="00565E39"/>
    <w:rsid w:val="00567E25"/>
    <w:rsid w:val="0058003F"/>
    <w:rsid w:val="005D61FE"/>
    <w:rsid w:val="006061F7"/>
    <w:rsid w:val="00620632"/>
    <w:rsid w:val="00651421"/>
    <w:rsid w:val="006C6ED3"/>
    <w:rsid w:val="006F3CA5"/>
    <w:rsid w:val="0075109E"/>
    <w:rsid w:val="007568E7"/>
    <w:rsid w:val="00757AE6"/>
    <w:rsid w:val="007613E4"/>
    <w:rsid w:val="0076436D"/>
    <w:rsid w:val="00784781"/>
    <w:rsid w:val="007969D3"/>
    <w:rsid w:val="007B45A5"/>
    <w:rsid w:val="007C3204"/>
    <w:rsid w:val="008139CB"/>
    <w:rsid w:val="00813C91"/>
    <w:rsid w:val="008506CB"/>
    <w:rsid w:val="008B6434"/>
    <w:rsid w:val="008B68F1"/>
    <w:rsid w:val="00911104"/>
    <w:rsid w:val="00914508"/>
    <w:rsid w:val="009630DE"/>
    <w:rsid w:val="00984649"/>
    <w:rsid w:val="00987B5E"/>
    <w:rsid w:val="009C468F"/>
    <w:rsid w:val="00A544E9"/>
    <w:rsid w:val="00A836C7"/>
    <w:rsid w:val="00AA2789"/>
    <w:rsid w:val="00AA4F69"/>
    <w:rsid w:val="00AB1E13"/>
    <w:rsid w:val="00B10981"/>
    <w:rsid w:val="00B4418A"/>
    <w:rsid w:val="00B76506"/>
    <w:rsid w:val="00B77986"/>
    <w:rsid w:val="00B843DF"/>
    <w:rsid w:val="00B8597F"/>
    <w:rsid w:val="00B9413A"/>
    <w:rsid w:val="00BB38B8"/>
    <w:rsid w:val="00BC05EF"/>
    <w:rsid w:val="00BF4CDE"/>
    <w:rsid w:val="00C3184F"/>
    <w:rsid w:val="00C35A23"/>
    <w:rsid w:val="00CC2CDB"/>
    <w:rsid w:val="00CD726F"/>
    <w:rsid w:val="00CE0577"/>
    <w:rsid w:val="00CE235A"/>
    <w:rsid w:val="00CF23F3"/>
    <w:rsid w:val="00D30707"/>
    <w:rsid w:val="00D61C42"/>
    <w:rsid w:val="00DE38B7"/>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0" ma:contentTypeDescription="Create a new document." ma:contentTypeScope="" ma:versionID="67d15ea3103843ce6b34bd65267bd0c7">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91b5dad95c4cfe7b13e9ddeb83848b1f"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A28E-DE4D-4EC9-8B64-99DA5A2FC44C}">
  <ds:schemaRefs>
    <ds:schemaRef ds:uri="http://schemas.microsoft.com/office/2006/metadata/properties"/>
    <ds:schemaRef ds:uri="http://schemas.microsoft.com/office/infopath/2007/PartnerControls"/>
    <ds:schemaRef ds:uri="e88cd02c-1ead-4ecd-bafe-d152135b44e0"/>
  </ds:schemaRefs>
</ds:datastoreItem>
</file>

<file path=customXml/itemProps2.xml><?xml version="1.0" encoding="utf-8"?>
<ds:datastoreItem xmlns:ds="http://schemas.openxmlformats.org/officeDocument/2006/customXml" ds:itemID="{A3204195-9F39-45B7-B4CF-FB051A8D89F6}">
  <ds:schemaRefs>
    <ds:schemaRef ds:uri="http://schemas.microsoft.com/sharepoint/v3/contenttype/forms"/>
  </ds:schemaRefs>
</ds:datastoreItem>
</file>

<file path=customXml/itemProps3.xml><?xml version="1.0" encoding="utf-8"?>
<ds:datastoreItem xmlns:ds="http://schemas.openxmlformats.org/officeDocument/2006/customXml" ds:itemID="{8B28B9D1-7BA2-4558-801D-EEA00B5D6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cd02c-1ead-4ecd-bafe-d152135b44e0"/>
    <ds:schemaRef ds:uri="c2645b09-e3ab-4d30-b4b2-8f4e25dff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E4594-C179-4D1B-B7E5-55090E2C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cp:lastModifiedBy>
  <cp:revision>10</cp:revision>
  <dcterms:created xsi:type="dcterms:W3CDTF">2020-11-06T03:52:00Z</dcterms:created>
  <dcterms:modified xsi:type="dcterms:W3CDTF">2021-04-08T01:01:00Z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9374500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