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E3DA5"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721475" w:rsidP="00E56812">
            <w:pPr>
              <w:rPr>
                <w:color w:val="002060"/>
              </w:rPr>
            </w:pPr>
            <w:r>
              <w:rPr>
                <w:color w:val="002060"/>
              </w:rPr>
              <w:t>Tenancy Advocate &amp; Support Worker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965F25" w:rsidP="009C7347">
            <w:pPr>
              <w:rPr>
                <w:color w:val="002060"/>
              </w:rPr>
            </w:pPr>
            <w:r>
              <w:rPr>
                <w:color w:val="002060"/>
              </w:rPr>
              <w:t xml:space="preserve">Quantum Support Services </w:t>
            </w:r>
            <w:r w:rsidR="009C7347">
              <w:rPr>
                <w:color w:val="002060"/>
              </w:rPr>
              <w:t>Sale &amp; Morwell</w:t>
            </w:r>
            <w:r w:rsidR="007E5C47" w:rsidRPr="007E5C47">
              <w:rPr>
                <w:color w:val="002060"/>
              </w:rPr>
              <w:t xml:space="preserve"> Office</w:t>
            </w:r>
            <w:r w:rsidR="009C7347">
              <w:rPr>
                <w:color w:val="002060"/>
              </w:rPr>
              <w:t>s</w:t>
            </w:r>
            <w:r w:rsidR="007E5C47" w:rsidRPr="007E5C47">
              <w:rPr>
                <w:color w:val="002060"/>
              </w:rPr>
              <w:t>.</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E5C47" w:rsidRDefault="007E5C47" w:rsidP="00C35A23">
            <w:pPr>
              <w:rPr>
                <w:color w:val="002060"/>
              </w:rPr>
            </w:pPr>
            <w:r>
              <w:rPr>
                <w:color w:val="002060"/>
              </w:rPr>
              <w:t>Team</w:t>
            </w:r>
            <w:r w:rsidRPr="007E5C47">
              <w:rPr>
                <w:color w:val="002060"/>
              </w:rPr>
              <w:t xml:space="preserve"> Le</w:t>
            </w:r>
            <w:r>
              <w:rPr>
                <w:color w:val="002060"/>
              </w:rPr>
              <w:t>ader Advocacy &amp; Support</w:t>
            </w:r>
          </w:p>
          <w:p w:rsidR="0076436D" w:rsidRPr="00F90B46" w:rsidRDefault="007E5C47" w:rsidP="00C35A23">
            <w:pPr>
              <w:rPr>
                <w:color w:val="002060"/>
              </w:rPr>
            </w:pPr>
            <w:r w:rsidRPr="007E5C47">
              <w:rPr>
                <w:color w:val="002060"/>
              </w:rPr>
              <w:t>Manager Homelessness &amp; Support Services.</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rsidR="0076436D" w:rsidRPr="00F90B46" w:rsidRDefault="007E5C47" w:rsidP="00C35A23">
            <w:pPr>
              <w:rPr>
                <w:color w:val="002060"/>
              </w:rPr>
            </w:pPr>
            <w:r>
              <w:rPr>
                <w:color w:val="002060"/>
              </w:rPr>
              <w:t>Homelessness &amp; Support Services</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Duration:</w:t>
            </w:r>
          </w:p>
        </w:tc>
        <w:tc>
          <w:tcPr>
            <w:tcW w:w="6917" w:type="dxa"/>
            <w:vAlign w:val="center"/>
          </w:tcPr>
          <w:p w:rsidR="0076436D" w:rsidRPr="00F90B46" w:rsidRDefault="00F90B46" w:rsidP="00C35A23">
            <w:pPr>
              <w:rPr>
                <w:color w:val="002060"/>
              </w:rPr>
            </w:pPr>
            <w:r w:rsidRPr="00F90B46">
              <w:rPr>
                <w:color w:val="002060"/>
              </w:rPr>
              <w:t>The period of employment is dependent upon ongoing funding.</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E56812" w:rsidP="00C35A23">
            <w:pPr>
              <w:rPr>
                <w:color w:val="002060"/>
              </w:rPr>
            </w:pPr>
            <w:r>
              <w:rPr>
                <w:color w:val="002060"/>
              </w:rPr>
              <w:t>SCHADS Award Level 5</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lastRenderedPageBreak/>
              <w:t>Our Goals</w:t>
            </w:r>
          </w:p>
        </w:tc>
        <w:tc>
          <w:tcPr>
            <w:tcW w:w="6917" w:type="dxa"/>
            <w:vAlign w:val="center"/>
          </w:tcPr>
          <w:p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A836C7" w:rsidP="00EE55C0">
            <w:pPr>
              <w:rPr>
                <w:color w:val="002060"/>
              </w:rPr>
            </w:pPr>
            <w:r w:rsidRPr="00F90B46">
              <w:rPr>
                <w:b/>
                <w:color w:val="002060"/>
              </w:rPr>
              <w:t>Primary Position Objective</w:t>
            </w:r>
          </w:p>
        </w:tc>
      </w:tr>
      <w:tr w:rsidR="00A836C7" w:rsidRPr="00F90B46" w:rsidTr="00C361EC">
        <w:trPr>
          <w:trHeight w:val="328"/>
        </w:trPr>
        <w:tc>
          <w:tcPr>
            <w:tcW w:w="10456" w:type="dxa"/>
            <w:vAlign w:val="center"/>
          </w:tcPr>
          <w:p w:rsidR="00C72F6A" w:rsidRPr="00C72F6A" w:rsidRDefault="00C72F6A" w:rsidP="00C72F6A">
            <w:pPr>
              <w:ind w:left="525" w:right="225"/>
              <w:rPr>
                <w:rFonts w:eastAsia="Times New Roman" w:cstheme="minorHAnsi"/>
                <w:color w:val="201747"/>
                <w:lang w:eastAsia="en-AU"/>
              </w:rPr>
            </w:pPr>
            <w:r w:rsidRPr="00C72F6A">
              <w:rPr>
                <w:rFonts w:eastAsia="Times New Roman" w:cstheme="minorHAnsi"/>
                <w:color w:val="201747"/>
                <w:lang w:eastAsia="en-AU"/>
              </w:rPr>
              <w:t xml:space="preserve">The Advocacy and Support Program combines three separate services involving the </w:t>
            </w:r>
            <w:r w:rsidR="00A92AEF">
              <w:rPr>
                <w:rFonts w:eastAsia="Times New Roman" w:cstheme="minorHAnsi"/>
                <w:color w:val="201747"/>
                <w:lang w:eastAsia="en-AU"/>
              </w:rPr>
              <w:t xml:space="preserve">Tenancy </w:t>
            </w:r>
            <w:proofErr w:type="gramStart"/>
            <w:r w:rsidR="00A92AEF">
              <w:rPr>
                <w:rFonts w:eastAsia="Times New Roman" w:cstheme="minorHAnsi"/>
                <w:color w:val="201747"/>
                <w:lang w:eastAsia="en-AU"/>
              </w:rPr>
              <w:t>Plus ,</w:t>
            </w:r>
            <w:proofErr w:type="gramEnd"/>
            <w:r w:rsidR="00A92AEF">
              <w:rPr>
                <w:rFonts w:eastAsia="Times New Roman" w:cstheme="minorHAnsi"/>
                <w:color w:val="201747"/>
                <w:lang w:eastAsia="en-AU"/>
              </w:rPr>
              <w:t xml:space="preserve"> Tenancy Support Program, Aboriginal Tenants At R</w:t>
            </w:r>
            <w:r w:rsidRPr="00C72F6A">
              <w:rPr>
                <w:rFonts w:eastAsia="Times New Roman" w:cstheme="minorHAnsi"/>
                <w:color w:val="201747"/>
                <w:lang w:eastAsia="en-AU"/>
              </w:rPr>
              <w:t xml:space="preserve">isk (ATAR) and the Tenancy Advocacy and Advice Program (TAAP). </w:t>
            </w:r>
          </w:p>
          <w:p w:rsidR="00C72F6A" w:rsidRPr="00C72F6A" w:rsidRDefault="00C72F6A" w:rsidP="00A92AEF">
            <w:pPr>
              <w:ind w:left="525" w:right="225"/>
              <w:rPr>
                <w:rFonts w:eastAsia="Times New Roman" w:cstheme="minorHAnsi"/>
                <w:color w:val="201747"/>
                <w:lang w:eastAsia="en-AU"/>
              </w:rPr>
            </w:pPr>
            <w:r w:rsidRPr="00C72F6A">
              <w:rPr>
                <w:rFonts w:eastAsia="Times New Roman" w:cstheme="minorHAnsi"/>
                <w:color w:val="201747"/>
                <w:lang w:eastAsia="en-AU"/>
              </w:rPr>
              <w:t>   </w:t>
            </w:r>
          </w:p>
          <w:p w:rsidR="00C72F6A" w:rsidRPr="00C72F6A" w:rsidRDefault="00C72F6A" w:rsidP="00C72F6A">
            <w:pPr>
              <w:ind w:left="525" w:right="225"/>
              <w:rPr>
                <w:rFonts w:eastAsia="Times New Roman" w:cstheme="minorHAnsi"/>
                <w:color w:val="201747"/>
                <w:lang w:eastAsia="en-AU"/>
              </w:rPr>
            </w:pPr>
            <w:r w:rsidRPr="00C72F6A">
              <w:rPr>
                <w:rFonts w:eastAsia="Times New Roman" w:cstheme="minorHAnsi"/>
                <w:color w:val="201747"/>
                <w:lang w:eastAsia="en-AU"/>
              </w:rPr>
              <w:t>These programs operate throughout Gippsland and involve the following service objectives:</w:t>
            </w:r>
          </w:p>
          <w:p w:rsidR="00C72F6A" w:rsidRPr="00C72F6A" w:rsidRDefault="00C72F6A" w:rsidP="00C72F6A">
            <w:pPr>
              <w:ind w:left="525" w:right="225"/>
              <w:rPr>
                <w:rFonts w:eastAsia="Times New Roman" w:cstheme="minorHAnsi"/>
                <w:color w:val="201747"/>
                <w:lang w:eastAsia="en-AU"/>
              </w:rPr>
            </w:pPr>
            <w:r w:rsidRPr="00C72F6A">
              <w:rPr>
                <w:rFonts w:eastAsia="Times New Roman" w:cstheme="minorHAnsi"/>
                <w:color w:val="201747"/>
                <w:lang w:eastAsia="en-AU"/>
              </w:rPr>
              <w:t> </w:t>
            </w:r>
          </w:p>
          <w:p w:rsidR="00C72F6A" w:rsidRPr="00C72F6A" w:rsidRDefault="00C72F6A" w:rsidP="00A92AEF">
            <w:pPr>
              <w:numPr>
                <w:ilvl w:val="0"/>
                <w:numId w:val="44"/>
              </w:numPr>
              <w:spacing w:after="100" w:afterAutospacing="1"/>
              <w:ind w:left="1245" w:right="225"/>
              <w:rPr>
                <w:rFonts w:eastAsia="Times New Roman" w:cstheme="minorHAnsi"/>
                <w:color w:val="201747"/>
                <w:lang w:eastAsia="en-AU"/>
              </w:rPr>
            </w:pPr>
            <w:r w:rsidRPr="00C72F6A">
              <w:rPr>
                <w:rFonts w:eastAsia="Times New Roman" w:cstheme="minorHAnsi"/>
                <w:color w:val="201747"/>
                <w:lang w:eastAsia="en-AU"/>
              </w:rPr>
              <w:t>Support</w:t>
            </w:r>
            <w:r w:rsidR="00A92AEF">
              <w:rPr>
                <w:rFonts w:eastAsia="Times New Roman" w:cstheme="minorHAnsi"/>
                <w:color w:val="201747"/>
                <w:lang w:eastAsia="en-AU"/>
              </w:rPr>
              <w:t>ing</w:t>
            </w:r>
            <w:r w:rsidRPr="00C72F6A">
              <w:rPr>
                <w:rFonts w:eastAsia="Times New Roman" w:cstheme="minorHAnsi"/>
                <w:color w:val="201747"/>
                <w:lang w:eastAsia="en-AU"/>
              </w:rPr>
              <w:t xml:space="preserve"> </w:t>
            </w:r>
            <w:r w:rsidR="00A92AEF">
              <w:rPr>
                <w:rFonts w:eastAsia="Times New Roman" w:cstheme="minorHAnsi"/>
                <w:color w:val="201747"/>
                <w:lang w:eastAsia="en-AU"/>
              </w:rPr>
              <w:t>Social Housing</w:t>
            </w:r>
            <w:r w:rsidRPr="00C72F6A">
              <w:rPr>
                <w:rFonts w:eastAsia="Times New Roman" w:cstheme="minorHAnsi"/>
                <w:color w:val="201747"/>
                <w:lang w:eastAsia="en-AU"/>
              </w:rPr>
              <w:t xml:space="preserve"> tenants and Aboriginal Housing Victoria tenants</w:t>
            </w:r>
            <w:r w:rsidR="00A92AEF">
              <w:rPr>
                <w:rFonts w:eastAsia="Times New Roman" w:cstheme="minorHAnsi"/>
                <w:color w:val="201747"/>
                <w:lang w:eastAsia="en-AU"/>
              </w:rPr>
              <w:t xml:space="preserve"> via an outreach model to establish sustainable tenancies where there has been a history of housing break down.</w:t>
            </w:r>
            <w:r w:rsidRPr="00C72F6A">
              <w:rPr>
                <w:rFonts w:eastAsia="Times New Roman" w:cstheme="minorHAnsi"/>
                <w:color w:val="201747"/>
                <w:lang w:eastAsia="en-AU"/>
              </w:rPr>
              <w:t> </w:t>
            </w:r>
            <w:r w:rsidR="00A92AEF">
              <w:rPr>
                <w:rFonts w:eastAsia="Times New Roman" w:cstheme="minorHAnsi"/>
                <w:color w:val="201747"/>
                <w:lang w:eastAsia="en-AU"/>
              </w:rPr>
              <w:t>Provide case management intervention and support to sustain tenancies that are at risk of breaking down.</w:t>
            </w:r>
            <w:r w:rsidRPr="00C72F6A">
              <w:rPr>
                <w:rFonts w:eastAsia="Times New Roman" w:cstheme="minorHAnsi"/>
                <w:color w:val="201747"/>
                <w:lang w:eastAsia="en-AU"/>
              </w:rPr>
              <w:t xml:space="preserve"> </w:t>
            </w:r>
          </w:p>
          <w:p w:rsidR="001F5628" w:rsidRPr="001F5628" w:rsidRDefault="00A92AEF" w:rsidP="001F5628">
            <w:pPr>
              <w:numPr>
                <w:ilvl w:val="0"/>
                <w:numId w:val="45"/>
              </w:numPr>
              <w:spacing w:after="100" w:afterAutospacing="1"/>
              <w:ind w:left="1245" w:right="225"/>
              <w:rPr>
                <w:rFonts w:eastAsia="Times New Roman" w:cstheme="minorHAnsi"/>
                <w:color w:val="201747"/>
                <w:lang w:eastAsia="en-AU"/>
              </w:rPr>
            </w:pPr>
            <w:r>
              <w:rPr>
                <w:rFonts w:eastAsia="Times New Roman" w:cstheme="minorHAnsi"/>
                <w:color w:val="201747"/>
                <w:lang w:eastAsia="en-AU"/>
              </w:rPr>
              <w:t>Provide support to Social H</w:t>
            </w:r>
            <w:r w:rsidR="001F5628">
              <w:rPr>
                <w:rFonts w:eastAsia="Times New Roman" w:cstheme="minorHAnsi"/>
                <w:color w:val="201747"/>
                <w:lang w:eastAsia="en-AU"/>
              </w:rPr>
              <w:t>ousing tenants and</w:t>
            </w:r>
            <w:r w:rsidR="00C72F6A" w:rsidRPr="00C72F6A">
              <w:rPr>
                <w:rFonts w:eastAsia="Times New Roman" w:cstheme="minorHAnsi"/>
                <w:color w:val="201747"/>
                <w:lang w:eastAsia="en-AU"/>
              </w:rPr>
              <w:t xml:space="preserve"> Abor</w:t>
            </w:r>
            <w:r w:rsidR="001F5628">
              <w:rPr>
                <w:rFonts w:eastAsia="Times New Roman" w:cstheme="minorHAnsi"/>
                <w:color w:val="201747"/>
                <w:lang w:eastAsia="en-AU"/>
              </w:rPr>
              <w:t>iginal Housing Victoria tenants</w:t>
            </w:r>
            <w:r w:rsidR="00C72F6A" w:rsidRPr="00C72F6A">
              <w:rPr>
                <w:rFonts w:eastAsia="Times New Roman" w:cstheme="minorHAnsi"/>
                <w:color w:val="201747"/>
                <w:lang w:eastAsia="en-AU"/>
              </w:rPr>
              <w:t xml:space="preserve"> unable to advocate on their own behalf. </w:t>
            </w:r>
          </w:p>
          <w:p w:rsidR="001F5628" w:rsidRPr="00C72F6A" w:rsidRDefault="001F5628" w:rsidP="00A92AEF">
            <w:pPr>
              <w:numPr>
                <w:ilvl w:val="0"/>
                <w:numId w:val="45"/>
              </w:numPr>
              <w:spacing w:after="100" w:afterAutospacing="1"/>
              <w:ind w:left="1245" w:right="225"/>
              <w:rPr>
                <w:rFonts w:eastAsia="Times New Roman" w:cstheme="minorHAnsi"/>
                <w:color w:val="201747"/>
                <w:lang w:eastAsia="en-AU"/>
              </w:rPr>
            </w:pPr>
            <w:r>
              <w:rPr>
                <w:rFonts w:eastAsia="Times New Roman" w:cstheme="minorHAnsi"/>
                <w:color w:val="201747"/>
                <w:lang w:eastAsia="en-AU"/>
              </w:rPr>
              <w:t>Provide a wide range of advocacy &amp; support to tenants living in private rental, Caravan Parks &amp; Rooming Houses.</w:t>
            </w:r>
          </w:p>
          <w:p w:rsidR="00C72F6A" w:rsidRPr="00C72F6A" w:rsidRDefault="00C72F6A" w:rsidP="00C72F6A">
            <w:pPr>
              <w:ind w:left="525" w:right="225"/>
              <w:rPr>
                <w:rFonts w:eastAsia="Times New Roman" w:cstheme="minorHAnsi"/>
                <w:color w:val="201747"/>
                <w:lang w:eastAsia="en-AU"/>
              </w:rPr>
            </w:pPr>
            <w:r w:rsidRPr="00C72F6A">
              <w:rPr>
                <w:rFonts w:eastAsia="Times New Roman" w:cstheme="minorHAnsi"/>
                <w:color w:val="201747"/>
                <w:lang w:eastAsia="en-AU"/>
              </w:rPr>
              <w:t> </w:t>
            </w:r>
          </w:p>
          <w:p w:rsidR="00E56812" w:rsidRPr="00C72F6A" w:rsidRDefault="00E56812" w:rsidP="00AE1C5B">
            <w:pPr>
              <w:jc w:val="both"/>
              <w:rPr>
                <w:rFonts w:cstheme="minorHAnsi"/>
                <w:color w:val="002060"/>
              </w:rPr>
            </w:pPr>
          </w:p>
          <w:p w:rsidR="00E56812" w:rsidRDefault="00E56812" w:rsidP="00AE1C5B">
            <w:pPr>
              <w:jc w:val="both"/>
              <w:rPr>
                <w:color w:val="002060"/>
              </w:rPr>
            </w:pPr>
          </w:p>
          <w:p w:rsidR="00E56812" w:rsidRPr="00ED6124" w:rsidRDefault="00E56812" w:rsidP="00AE1C5B">
            <w:pPr>
              <w:jc w:val="both"/>
              <w:rPr>
                <w:color w:val="002060"/>
              </w:rPr>
            </w:pP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F90B46" w:rsidRPr="00F90B46" w:rsidTr="006C6ED3">
        <w:trPr>
          <w:trHeight w:val="328"/>
        </w:trPr>
        <w:tc>
          <w:tcPr>
            <w:tcW w:w="2122" w:type="dxa"/>
            <w:vAlign w:val="center"/>
          </w:tcPr>
          <w:p w:rsidR="001B3324" w:rsidRPr="00F90B46" w:rsidRDefault="007E5C47" w:rsidP="00EE55C0">
            <w:pPr>
              <w:rPr>
                <w:b/>
                <w:color w:val="002060"/>
              </w:rPr>
            </w:pPr>
            <w:r>
              <w:rPr>
                <w:b/>
                <w:color w:val="002060"/>
              </w:rPr>
              <w:t>Service Delivery</w:t>
            </w:r>
          </w:p>
        </w:tc>
        <w:tc>
          <w:tcPr>
            <w:tcW w:w="8334" w:type="dxa"/>
            <w:vAlign w:val="center"/>
          </w:tcPr>
          <w:p w:rsidR="00FA49E0" w:rsidRPr="00ED6124" w:rsidRDefault="00FA49E0" w:rsidP="00FA49E0">
            <w:pPr>
              <w:pStyle w:val="ListParagraph"/>
              <w:numPr>
                <w:ilvl w:val="0"/>
                <w:numId w:val="34"/>
              </w:numPr>
              <w:jc w:val="both"/>
              <w:rPr>
                <w:strike/>
                <w:color w:val="002060"/>
              </w:rPr>
            </w:pPr>
            <w:r w:rsidRPr="00ED6124">
              <w:rPr>
                <w:color w:val="002060"/>
              </w:rPr>
              <w:t>Engage with tenants whose tenancies are identified at risk and require</w:t>
            </w:r>
            <w:r w:rsidR="00AE1C5B" w:rsidRPr="00ED6124">
              <w:rPr>
                <w:color w:val="002060"/>
              </w:rPr>
              <w:t xml:space="preserve"> case management support.</w:t>
            </w:r>
            <w:r w:rsidRPr="00ED6124">
              <w:rPr>
                <w:color w:val="002060"/>
              </w:rPr>
              <w:t xml:space="preserve"> </w:t>
            </w:r>
          </w:p>
          <w:p w:rsidR="00FA49E0" w:rsidRPr="00ED6124" w:rsidRDefault="00FA49E0" w:rsidP="00FA49E0">
            <w:pPr>
              <w:pStyle w:val="ListParagraph"/>
              <w:numPr>
                <w:ilvl w:val="0"/>
                <w:numId w:val="34"/>
              </w:numPr>
              <w:jc w:val="both"/>
              <w:rPr>
                <w:color w:val="002060"/>
              </w:rPr>
            </w:pPr>
            <w:r w:rsidRPr="00ED6124">
              <w:rPr>
                <w:color w:val="002060"/>
              </w:rPr>
              <w:t>Provide a range of interventions that will support the client group, including assessing the individual circumstances of clients &amp; making referrals to appropriate services as required.</w:t>
            </w:r>
          </w:p>
          <w:p w:rsidR="007E5C47" w:rsidRPr="00ED6124" w:rsidRDefault="007E5C47" w:rsidP="007E5C47">
            <w:pPr>
              <w:pStyle w:val="ListParagraph"/>
              <w:numPr>
                <w:ilvl w:val="0"/>
                <w:numId w:val="34"/>
              </w:numPr>
              <w:jc w:val="both"/>
              <w:rPr>
                <w:color w:val="002060"/>
              </w:rPr>
            </w:pPr>
            <w:r w:rsidRPr="00ED6124">
              <w:rPr>
                <w:color w:val="002060"/>
              </w:rPr>
              <w:t>Provide clients of the Tenancy Assistance &amp; Advice program with the least intensive service that meets the clients need.</w:t>
            </w:r>
          </w:p>
          <w:p w:rsidR="00CD726F" w:rsidRPr="00ED6124" w:rsidRDefault="007E5C47" w:rsidP="007E5C47">
            <w:pPr>
              <w:pStyle w:val="ListParagraph"/>
              <w:numPr>
                <w:ilvl w:val="0"/>
                <w:numId w:val="34"/>
              </w:numPr>
              <w:jc w:val="both"/>
              <w:rPr>
                <w:color w:val="002060"/>
              </w:rPr>
            </w:pPr>
            <w:r w:rsidRPr="00ED6124">
              <w:rPr>
                <w:color w:val="002060"/>
              </w:rPr>
              <w:t xml:space="preserve">Maintain effective working relationships with the </w:t>
            </w:r>
            <w:r w:rsidR="001F5628">
              <w:rPr>
                <w:color w:val="002060"/>
              </w:rPr>
              <w:t>Department Health &amp; Human Services</w:t>
            </w:r>
            <w:r w:rsidRPr="00ED6124">
              <w:rPr>
                <w:color w:val="002060"/>
              </w:rPr>
              <w:t>, Consumer Affairs Victoria, Ab</w:t>
            </w:r>
            <w:r w:rsidR="001F5628">
              <w:rPr>
                <w:color w:val="002060"/>
              </w:rPr>
              <w:t xml:space="preserve">original Housing Victoria &amp; </w:t>
            </w:r>
            <w:r w:rsidRPr="00ED6124">
              <w:rPr>
                <w:color w:val="002060"/>
              </w:rPr>
              <w:t>Tenants Victoria to ensure high quality service provision, timely responses to tenants needs and an ongoing efficient service system.</w:t>
            </w:r>
          </w:p>
          <w:p w:rsidR="007E5C47" w:rsidRPr="00ED6124" w:rsidRDefault="007E5C47" w:rsidP="007E5C47">
            <w:pPr>
              <w:pStyle w:val="ListParagraph"/>
              <w:numPr>
                <w:ilvl w:val="0"/>
                <w:numId w:val="34"/>
              </w:numPr>
              <w:jc w:val="both"/>
              <w:rPr>
                <w:color w:val="002060"/>
              </w:rPr>
            </w:pPr>
            <w:r w:rsidRPr="00ED6124">
              <w:rPr>
                <w:color w:val="002060"/>
              </w:rPr>
              <w:t>Develop effective working relationships with community service providers &amp; funding bodies to ensure a range of appropriate services are available to Social Housing &amp; Private rental tenants.</w:t>
            </w:r>
          </w:p>
          <w:p w:rsidR="007E5C47" w:rsidRPr="00ED6124" w:rsidRDefault="007E5C47" w:rsidP="007E5C47">
            <w:pPr>
              <w:pStyle w:val="ListParagraph"/>
              <w:numPr>
                <w:ilvl w:val="0"/>
                <w:numId w:val="34"/>
              </w:numPr>
              <w:jc w:val="both"/>
              <w:rPr>
                <w:color w:val="002060"/>
              </w:rPr>
            </w:pPr>
            <w:r w:rsidRPr="00ED6124">
              <w:rPr>
                <w:color w:val="002060"/>
              </w:rPr>
              <w:t>Attend the Victorian Civil and Administrative Tribunal to support and advocate on behalf of social housing tenants &amp; private tenants.</w:t>
            </w:r>
          </w:p>
          <w:p w:rsidR="007E5C47" w:rsidRPr="00ED6124" w:rsidRDefault="007E5C47" w:rsidP="007E5C47">
            <w:pPr>
              <w:pStyle w:val="ListParagraph"/>
              <w:numPr>
                <w:ilvl w:val="0"/>
                <w:numId w:val="34"/>
              </w:numPr>
              <w:jc w:val="both"/>
              <w:rPr>
                <w:color w:val="002060"/>
              </w:rPr>
            </w:pPr>
            <w:r w:rsidRPr="00ED6124">
              <w:rPr>
                <w:color w:val="002060"/>
              </w:rPr>
              <w:t>Provide accurate tenancy information to disadvantaged tenants &amp; family violence victims.</w:t>
            </w:r>
          </w:p>
          <w:p w:rsidR="007E5C47" w:rsidRPr="00ED6124" w:rsidRDefault="007E5C47" w:rsidP="007E5C47">
            <w:pPr>
              <w:pStyle w:val="ListParagraph"/>
              <w:numPr>
                <w:ilvl w:val="0"/>
                <w:numId w:val="34"/>
              </w:numPr>
              <w:jc w:val="both"/>
              <w:rPr>
                <w:color w:val="002060"/>
              </w:rPr>
            </w:pPr>
            <w:r w:rsidRPr="00ED6124">
              <w:rPr>
                <w:color w:val="002060"/>
              </w:rPr>
              <w:t>Draft and prepare letters, documents and applications forms on behalf of tenants.</w:t>
            </w:r>
          </w:p>
          <w:p w:rsidR="007E5C47" w:rsidRPr="00ED6124" w:rsidRDefault="007E5C47" w:rsidP="007E5C47">
            <w:pPr>
              <w:pStyle w:val="ListParagraph"/>
              <w:numPr>
                <w:ilvl w:val="0"/>
                <w:numId w:val="34"/>
              </w:numPr>
              <w:jc w:val="both"/>
              <w:rPr>
                <w:color w:val="002060"/>
              </w:rPr>
            </w:pPr>
            <w:r w:rsidRPr="00ED6124">
              <w:rPr>
                <w:color w:val="002060"/>
              </w:rPr>
              <w:t>Assist tenants to prepare for and understand VCAT processes and procedures.</w:t>
            </w:r>
          </w:p>
          <w:p w:rsidR="007E5C47" w:rsidRPr="00ED6124" w:rsidRDefault="007E5C47" w:rsidP="007E5C47">
            <w:pPr>
              <w:pStyle w:val="ListParagraph"/>
              <w:numPr>
                <w:ilvl w:val="0"/>
                <w:numId w:val="34"/>
              </w:numPr>
              <w:jc w:val="both"/>
              <w:rPr>
                <w:color w:val="002060"/>
              </w:rPr>
            </w:pPr>
            <w:r w:rsidRPr="00ED6124">
              <w:rPr>
                <w:color w:val="002060"/>
              </w:rPr>
              <w:t>Maintain up to date knowledge of relevant legislation, procedures and practices and referral options for clients in relation to tenancy matters and family violence.</w:t>
            </w:r>
          </w:p>
          <w:p w:rsidR="007E5C47" w:rsidRPr="00ED6124" w:rsidRDefault="007E5C47" w:rsidP="007E5C47">
            <w:pPr>
              <w:pStyle w:val="ListParagraph"/>
              <w:numPr>
                <w:ilvl w:val="0"/>
                <w:numId w:val="34"/>
              </w:numPr>
              <w:jc w:val="both"/>
              <w:rPr>
                <w:color w:val="002060"/>
              </w:rPr>
            </w:pPr>
            <w:r w:rsidRPr="00ED6124">
              <w:rPr>
                <w:color w:val="002060"/>
              </w:rPr>
              <w:t xml:space="preserve">Maintain accurate and up to date records, including file notes and casework data </w:t>
            </w:r>
          </w:p>
          <w:p w:rsidR="007E5C47" w:rsidRPr="00ED6124" w:rsidRDefault="007E5C47" w:rsidP="007E5C47">
            <w:pPr>
              <w:pStyle w:val="ListParagraph"/>
              <w:numPr>
                <w:ilvl w:val="0"/>
                <w:numId w:val="34"/>
              </w:numPr>
              <w:jc w:val="both"/>
              <w:rPr>
                <w:color w:val="002060"/>
              </w:rPr>
            </w:pPr>
            <w:r w:rsidRPr="00ED6124">
              <w:rPr>
                <w:color w:val="002060"/>
              </w:rPr>
              <w:lastRenderedPageBreak/>
              <w:t xml:space="preserve">Refer tenants to relevant support services (e.g. Centrelink, emergency relief, financial counselling, </w:t>
            </w:r>
            <w:proofErr w:type="gramStart"/>
            <w:r w:rsidRPr="00ED6124">
              <w:rPr>
                <w:color w:val="002060"/>
              </w:rPr>
              <w:t>legal</w:t>
            </w:r>
            <w:proofErr w:type="gramEnd"/>
            <w:r w:rsidRPr="00ED6124">
              <w:rPr>
                <w:color w:val="002060"/>
              </w:rPr>
              <w:t xml:space="preserve"> advice) where appropriate.</w:t>
            </w:r>
          </w:p>
          <w:p w:rsidR="007E5C47" w:rsidRPr="00ED6124" w:rsidRDefault="007E5C47" w:rsidP="007E5C47">
            <w:pPr>
              <w:pStyle w:val="ListParagraph"/>
              <w:numPr>
                <w:ilvl w:val="0"/>
                <w:numId w:val="34"/>
              </w:numPr>
              <w:jc w:val="both"/>
              <w:rPr>
                <w:color w:val="002060"/>
              </w:rPr>
            </w:pPr>
            <w:r w:rsidRPr="00ED6124">
              <w:rPr>
                <w:color w:val="002060"/>
              </w:rPr>
              <w:t xml:space="preserve">Prepare accurate client data and 6 month client case study reports. </w:t>
            </w:r>
          </w:p>
          <w:p w:rsidR="007E5C47" w:rsidRPr="00ED6124" w:rsidRDefault="007E5C47" w:rsidP="007E5C47">
            <w:pPr>
              <w:pStyle w:val="ListParagraph"/>
              <w:numPr>
                <w:ilvl w:val="0"/>
                <w:numId w:val="34"/>
              </w:numPr>
              <w:jc w:val="both"/>
              <w:rPr>
                <w:color w:val="002060"/>
              </w:rPr>
            </w:pPr>
            <w:r w:rsidRPr="00ED6124">
              <w:rPr>
                <w:color w:val="002060"/>
              </w:rPr>
              <w:t>Negotiate with Landlords, Real Estate Agents and other parties on behalf of tenants to resolve disputes.</w:t>
            </w:r>
          </w:p>
        </w:tc>
      </w:tr>
      <w:tr w:rsidR="00F90B46" w:rsidRPr="00F90B46" w:rsidTr="006C6ED3">
        <w:trPr>
          <w:trHeight w:val="328"/>
        </w:trPr>
        <w:tc>
          <w:tcPr>
            <w:tcW w:w="2122" w:type="dxa"/>
            <w:vAlign w:val="center"/>
          </w:tcPr>
          <w:p w:rsidR="00502430" w:rsidRPr="00F90B46" w:rsidRDefault="00502430" w:rsidP="00EE55C0">
            <w:pPr>
              <w:rPr>
                <w:b/>
                <w:color w:val="002060"/>
              </w:rPr>
            </w:pPr>
            <w:r w:rsidRPr="00F90B46">
              <w:rPr>
                <w:b/>
                <w:color w:val="002060"/>
              </w:rPr>
              <w:lastRenderedPageBreak/>
              <w:t>Agency Participation</w:t>
            </w:r>
          </w:p>
        </w:tc>
        <w:tc>
          <w:tcPr>
            <w:tcW w:w="8334" w:type="dxa"/>
            <w:vAlign w:val="center"/>
          </w:tcPr>
          <w:p w:rsidR="00502430" w:rsidRPr="007E5C47" w:rsidRDefault="00502430" w:rsidP="007E5C47">
            <w:pPr>
              <w:pStyle w:val="ListParagraph"/>
              <w:numPr>
                <w:ilvl w:val="0"/>
                <w:numId w:val="34"/>
              </w:numPr>
              <w:rPr>
                <w:color w:val="002060"/>
              </w:rPr>
            </w:pPr>
            <w:r w:rsidRPr="007E5C47">
              <w:rPr>
                <w:color w:val="002060"/>
              </w:rPr>
              <w:t xml:space="preserve">Participate in regular supervision, review and individual planning, including the identification of training needs, provided by </w:t>
            </w:r>
            <w:r w:rsidR="007E5C47" w:rsidRPr="007E5C47">
              <w:rPr>
                <w:color w:val="002060"/>
              </w:rPr>
              <w:t>Quantum Supp</w:t>
            </w:r>
            <w:r w:rsidR="007E5C47">
              <w:rPr>
                <w:color w:val="002060"/>
              </w:rPr>
              <w:t>ort Services Line Management</w:t>
            </w:r>
            <w:r w:rsidRPr="007E5C47">
              <w:rPr>
                <w:color w:val="002060"/>
              </w:rPr>
              <w:t>.</w:t>
            </w:r>
          </w:p>
          <w:p w:rsidR="00502430" w:rsidRDefault="00502430" w:rsidP="00BC05EF">
            <w:pPr>
              <w:pStyle w:val="ListParagraph"/>
              <w:numPr>
                <w:ilvl w:val="0"/>
                <w:numId w:val="34"/>
              </w:numPr>
              <w:jc w:val="both"/>
              <w:rPr>
                <w:color w:val="002060"/>
              </w:rPr>
            </w:pPr>
            <w:r w:rsidRPr="00F90B46">
              <w:rPr>
                <w:color w:val="002060"/>
              </w:rPr>
              <w:t>Participate and operate effectively within a team environment and attend and contribute to team meetings and Agency staff meetings.</w:t>
            </w:r>
          </w:p>
          <w:p w:rsidR="007E5C47" w:rsidRPr="007E5C47" w:rsidRDefault="007E5C47" w:rsidP="007E5C47">
            <w:pPr>
              <w:pStyle w:val="ListParagraph"/>
              <w:numPr>
                <w:ilvl w:val="0"/>
                <w:numId w:val="34"/>
              </w:numPr>
              <w:jc w:val="both"/>
              <w:rPr>
                <w:color w:val="002060"/>
              </w:rPr>
            </w:pPr>
            <w:r w:rsidRPr="007E5C47">
              <w:rPr>
                <w:color w:val="002060"/>
              </w:rPr>
              <w:t>Commitment to continuous improvement including involvement in the ongoing evaluation and monitoring of both the program's and the Agency's service delivery and contribute to future planning</w:t>
            </w:r>
          </w:p>
          <w:p w:rsidR="002E5DC9" w:rsidRPr="007E5C47" w:rsidRDefault="007E5C47" w:rsidP="007E5C47">
            <w:pPr>
              <w:pStyle w:val="ListParagraph"/>
              <w:numPr>
                <w:ilvl w:val="0"/>
                <w:numId w:val="34"/>
              </w:numPr>
              <w:jc w:val="both"/>
              <w:rPr>
                <w:color w:val="002060"/>
              </w:rPr>
            </w:pPr>
            <w:r w:rsidRPr="007E5C47">
              <w:rPr>
                <w:color w:val="002060"/>
              </w:rPr>
              <w:t>Contribute to Quantum Support Services' policy processes in response to local, State and Commonwealth Governm</w:t>
            </w:r>
            <w:r>
              <w:rPr>
                <w:color w:val="002060"/>
              </w:rPr>
              <w:t>ent policy changes and reviews.</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A544E9" w:rsidRPr="00B843DF" w:rsidRDefault="00A544E9" w:rsidP="00BC05EF">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00A544E9" w:rsidRPr="00B843DF" w:rsidRDefault="00A544E9" w:rsidP="00BC05EF">
            <w:pPr>
              <w:pStyle w:val="ListParagraph"/>
              <w:numPr>
                <w:ilvl w:val="0"/>
                <w:numId w:val="34"/>
              </w:numPr>
              <w:jc w:val="both"/>
              <w:rPr>
                <w:color w:val="002060"/>
              </w:rPr>
            </w:pPr>
            <w:r w:rsidRPr="00B843DF">
              <w:rPr>
                <w:color w:val="002060"/>
              </w:rPr>
              <w:t>Maintaining accurate records.</w:t>
            </w:r>
          </w:p>
          <w:p w:rsidR="00A544E9" w:rsidRPr="00B843DF" w:rsidRDefault="00A544E9" w:rsidP="00BC05EF">
            <w:pPr>
              <w:pStyle w:val="ListParagraph"/>
              <w:numPr>
                <w:ilvl w:val="0"/>
                <w:numId w:val="34"/>
              </w:numPr>
              <w:jc w:val="both"/>
              <w:rPr>
                <w:color w:val="002060"/>
              </w:rPr>
            </w:pPr>
            <w:r w:rsidRPr="00B843DF">
              <w:rPr>
                <w:color w:val="002060"/>
              </w:rPr>
              <w:t>Maintain case files for all program participants.</w:t>
            </w:r>
          </w:p>
          <w:p w:rsidR="00A544E9" w:rsidRDefault="00A544E9" w:rsidP="00BC05EF">
            <w:pPr>
              <w:pStyle w:val="ListParagraph"/>
              <w:numPr>
                <w:ilvl w:val="0"/>
                <w:numId w:val="34"/>
              </w:numPr>
              <w:jc w:val="both"/>
              <w:rPr>
                <w:color w:val="002060"/>
              </w:rPr>
            </w:pPr>
            <w:r w:rsidRPr="00B843DF">
              <w:rPr>
                <w:color w:val="002060"/>
              </w:rPr>
              <w:t xml:space="preserve">Perform other duties relevant to Quantum Support Services' daily operations as directed by the </w:t>
            </w:r>
            <w:r w:rsidR="00E14862">
              <w:rPr>
                <w:color w:val="002060"/>
              </w:rPr>
              <w:t>Team Leader</w:t>
            </w:r>
            <w:r w:rsidRPr="00B843DF">
              <w:rPr>
                <w:color w:val="002060"/>
              </w:rPr>
              <w:t xml:space="preserve"> and Quantum Support Services Line Management.</w:t>
            </w:r>
          </w:p>
          <w:p w:rsidR="007E5C47" w:rsidRPr="00B843DF" w:rsidRDefault="007E5C47" w:rsidP="007E5C47">
            <w:pPr>
              <w:pStyle w:val="ListParagraph"/>
              <w:numPr>
                <w:ilvl w:val="0"/>
                <w:numId w:val="34"/>
              </w:numPr>
              <w:jc w:val="both"/>
              <w:rPr>
                <w:color w:val="002060"/>
              </w:rPr>
            </w:pPr>
            <w:r w:rsidRPr="007E5C47">
              <w:rPr>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t>General</w:t>
            </w:r>
          </w:p>
        </w:tc>
        <w:tc>
          <w:tcPr>
            <w:tcW w:w="8334" w:type="dxa"/>
            <w:vAlign w:val="center"/>
          </w:tcPr>
          <w:p w:rsidR="006F3CA5" w:rsidRPr="00BC05EF"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t>Health and Safety</w:t>
            </w:r>
          </w:p>
        </w:tc>
        <w:tc>
          <w:tcPr>
            <w:tcW w:w="8334" w:type="dxa"/>
            <w:vAlign w:val="center"/>
          </w:tcPr>
          <w:p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Pr="00F90B46" w:rsidRDefault="004622C5" w:rsidP="004622C5">
            <w:pPr>
              <w:pStyle w:val="ListParagraph"/>
              <w:rPr>
                <w:b/>
                <w:color w:val="002060"/>
                <w:u w:val="single"/>
              </w:rPr>
            </w:pPr>
            <w:r w:rsidRPr="00F90B46">
              <w:rPr>
                <w:b/>
                <w:color w:val="002060"/>
                <w:u w:val="single"/>
              </w:rPr>
              <w:t>Service Delivery</w:t>
            </w:r>
          </w:p>
          <w:p w:rsidR="004622C5" w:rsidRPr="00F90B46" w:rsidRDefault="004622C5" w:rsidP="004622C5">
            <w:pPr>
              <w:ind w:left="360"/>
              <w:rPr>
                <w:color w:val="002060"/>
              </w:rPr>
            </w:pPr>
          </w:p>
          <w:p w:rsidR="007E5C47" w:rsidRDefault="007E5C47" w:rsidP="007E5C47">
            <w:pPr>
              <w:pStyle w:val="ListParagraph"/>
              <w:numPr>
                <w:ilvl w:val="0"/>
                <w:numId w:val="36"/>
              </w:numPr>
              <w:rPr>
                <w:color w:val="002060"/>
              </w:rPr>
            </w:pPr>
            <w:r w:rsidRPr="007E5C47">
              <w:rPr>
                <w:color w:val="002060"/>
              </w:rPr>
              <w:t>Demonstrated relationships with key stakeholders in Gippsland</w:t>
            </w:r>
          </w:p>
          <w:p w:rsidR="00E14862" w:rsidRPr="007E5C47" w:rsidRDefault="00E14862" w:rsidP="007E5C47">
            <w:pPr>
              <w:pStyle w:val="ListParagraph"/>
              <w:numPr>
                <w:ilvl w:val="0"/>
                <w:numId w:val="36"/>
              </w:numPr>
              <w:rPr>
                <w:color w:val="002060"/>
              </w:rPr>
            </w:pPr>
            <w:r>
              <w:rPr>
                <w:color w:val="002060"/>
              </w:rPr>
              <w:t>Relevant experience in working with the Aboriginal &amp; Torres Strait Islander community.</w:t>
            </w:r>
          </w:p>
          <w:p w:rsidR="007E5C47" w:rsidRPr="007E5C47" w:rsidRDefault="007E5C47" w:rsidP="007E5C47">
            <w:pPr>
              <w:pStyle w:val="ListParagraph"/>
              <w:numPr>
                <w:ilvl w:val="0"/>
                <w:numId w:val="36"/>
              </w:numPr>
              <w:rPr>
                <w:color w:val="002060"/>
              </w:rPr>
            </w:pPr>
            <w:r w:rsidRPr="007E5C47">
              <w:rPr>
                <w:color w:val="002060"/>
              </w:rPr>
              <w:t>Advanced practical knowledge the ‘Residential Tenancies Act'</w:t>
            </w:r>
          </w:p>
          <w:p w:rsidR="007E5C47" w:rsidRPr="007E5C47" w:rsidRDefault="007E5C47" w:rsidP="007E5C47">
            <w:pPr>
              <w:pStyle w:val="ListParagraph"/>
              <w:numPr>
                <w:ilvl w:val="0"/>
                <w:numId w:val="36"/>
              </w:numPr>
              <w:rPr>
                <w:color w:val="002060"/>
              </w:rPr>
            </w:pPr>
            <w:r w:rsidRPr="007E5C47">
              <w:rPr>
                <w:color w:val="002060"/>
              </w:rPr>
              <w:t>High level of knowledge and experience in attending the Victorian Civil and Administrativ</w:t>
            </w:r>
            <w:r w:rsidR="00E14862">
              <w:rPr>
                <w:color w:val="002060"/>
              </w:rPr>
              <w:t>e Tribunal on behalf of tenants.</w:t>
            </w:r>
          </w:p>
          <w:p w:rsidR="007E5C47" w:rsidRPr="007E5C47" w:rsidRDefault="007E5C47" w:rsidP="007E5C47">
            <w:pPr>
              <w:pStyle w:val="ListParagraph"/>
              <w:numPr>
                <w:ilvl w:val="0"/>
                <w:numId w:val="36"/>
              </w:numPr>
              <w:rPr>
                <w:color w:val="002060"/>
              </w:rPr>
            </w:pPr>
            <w:r w:rsidRPr="007E5C47">
              <w:rPr>
                <w:color w:val="002060"/>
              </w:rPr>
              <w:t>The ability to work within a team and an understanding of the importance of teamwork in achieving results for both clients and the program area and organisation in general.</w:t>
            </w:r>
          </w:p>
          <w:p w:rsidR="001A5A25" w:rsidRDefault="007E5C47" w:rsidP="004622C5">
            <w:pPr>
              <w:pStyle w:val="ListParagraph"/>
              <w:numPr>
                <w:ilvl w:val="0"/>
                <w:numId w:val="36"/>
              </w:numPr>
              <w:rPr>
                <w:color w:val="002060"/>
              </w:rPr>
            </w:pPr>
            <w:r w:rsidRPr="007E5C47">
              <w:rPr>
                <w:color w:val="002060"/>
              </w:rPr>
              <w:t>Knowledge of Social Housing policies &amp; procedures</w:t>
            </w:r>
          </w:p>
          <w:p w:rsidR="00E14862" w:rsidRDefault="00E14862" w:rsidP="004622C5">
            <w:pPr>
              <w:pStyle w:val="ListParagraph"/>
              <w:numPr>
                <w:ilvl w:val="0"/>
                <w:numId w:val="36"/>
              </w:numPr>
              <w:rPr>
                <w:color w:val="002060"/>
              </w:rPr>
            </w:pPr>
            <w:r>
              <w:rPr>
                <w:color w:val="002060"/>
              </w:rPr>
              <w:t>Ability to work within relevant legislation, policy &amp; procedure.</w:t>
            </w:r>
          </w:p>
          <w:p w:rsidR="00E14862" w:rsidRDefault="00E14862" w:rsidP="004622C5">
            <w:pPr>
              <w:pStyle w:val="ListParagraph"/>
              <w:numPr>
                <w:ilvl w:val="0"/>
                <w:numId w:val="36"/>
              </w:numPr>
              <w:rPr>
                <w:color w:val="002060"/>
              </w:rPr>
            </w:pPr>
            <w:r>
              <w:rPr>
                <w:color w:val="002060"/>
              </w:rPr>
              <w:t>Capacity to work independently, including the ability to provide outreach services to community members.</w:t>
            </w:r>
          </w:p>
          <w:p w:rsidR="00E14862" w:rsidRPr="004F5065" w:rsidRDefault="00E14862" w:rsidP="004622C5">
            <w:pPr>
              <w:pStyle w:val="ListParagraph"/>
              <w:numPr>
                <w:ilvl w:val="0"/>
                <w:numId w:val="36"/>
              </w:numPr>
              <w:rPr>
                <w:color w:val="002060"/>
              </w:rPr>
            </w:pPr>
            <w:r>
              <w:rPr>
                <w:color w:val="002060"/>
              </w:rPr>
              <w:t>Demonstrated understanding of Case Management.</w:t>
            </w:r>
          </w:p>
          <w:p w:rsidR="00B77986" w:rsidRDefault="00B77986" w:rsidP="004622C5">
            <w:pPr>
              <w:pStyle w:val="ListParagraph"/>
              <w:rPr>
                <w:color w:val="002060"/>
              </w:rPr>
            </w:pPr>
          </w:p>
          <w:p w:rsidR="00E14862" w:rsidRDefault="00E14862" w:rsidP="004622C5">
            <w:pPr>
              <w:pStyle w:val="ListParagraph"/>
              <w:rPr>
                <w:color w:val="002060"/>
              </w:rPr>
            </w:pPr>
          </w:p>
          <w:p w:rsidR="00E14862" w:rsidRDefault="00E14862" w:rsidP="004622C5">
            <w:pPr>
              <w:pStyle w:val="ListParagraph"/>
              <w:rPr>
                <w:color w:val="002060"/>
              </w:rPr>
            </w:pPr>
          </w:p>
          <w:p w:rsidR="00E14862" w:rsidRDefault="00E14862" w:rsidP="004622C5">
            <w:pPr>
              <w:pStyle w:val="ListParagraph"/>
              <w:rPr>
                <w:color w:val="002060"/>
              </w:rPr>
            </w:pPr>
          </w:p>
          <w:p w:rsidR="00E14862" w:rsidRDefault="00E14862" w:rsidP="004622C5">
            <w:pPr>
              <w:pStyle w:val="ListParagraph"/>
              <w:rPr>
                <w:color w:val="002060"/>
              </w:rPr>
            </w:pPr>
          </w:p>
          <w:p w:rsidR="00E14862" w:rsidRPr="00F90B46" w:rsidRDefault="00E14862" w:rsidP="004622C5">
            <w:pPr>
              <w:pStyle w:val="ListParagraph"/>
              <w:rPr>
                <w:color w:val="002060"/>
              </w:rPr>
            </w:pPr>
          </w:p>
          <w:p w:rsidR="004622C5" w:rsidRPr="00F90B46" w:rsidRDefault="00A544E9" w:rsidP="004622C5">
            <w:pPr>
              <w:pStyle w:val="ListParagraph"/>
              <w:rPr>
                <w:b/>
                <w:color w:val="002060"/>
                <w:u w:val="single"/>
              </w:rPr>
            </w:pPr>
            <w:r w:rsidRPr="00F90B46">
              <w:rPr>
                <w:b/>
                <w:color w:val="002060"/>
                <w:u w:val="single"/>
              </w:rPr>
              <w:t xml:space="preserve">General </w:t>
            </w:r>
          </w:p>
          <w:p w:rsidR="004622C5" w:rsidRPr="00F90B46" w:rsidRDefault="004622C5" w:rsidP="004622C5">
            <w:pPr>
              <w:rPr>
                <w:color w:val="002060"/>
              </w:rPr>
            </w:pPr>
          </w:p>
          <w:p w:rsidR="004622C5" w:rsidRPr="00F90B46" w:rsidRDefault="00A544E9" w:rsidP="004622C5">
            <w:pPr>
              <w:pStyle w:val="ListParagraph"/>
              <w:numPr>
                <w:ilvl w:val="0"/>
                <w:numId w:val="36"/>
              </w:numPr>
              <w:rPr>
                <w:color w:val="002060"/>
              </w:rPr>
            </w:pPr>
            <w:r w:rsidRPr="00F90B46">
              <w:rPr>
                <w:color w:val="002060"/>
              </w:rPr>
              <w:t xml:space="preserve">Excellent </w:t>
            </w:r>
            <w:r w:rsidR="004622C5" w:rsidRPr="00F90B46">
              <w:rPr>
                <w:color w:val="002060"/>
              </w:rPr>
              <w:t>literacy and computer skills.</w:t>
            </w:r>
          </w:p>
          <w:p w:rsidR="004622C5" w:rsidRPr="00F90B46" w:rsidRDefault="00A544E9" w:rsidP="004622C5">
            <w:pPr>
              <w:pStyle w:val="ListParagraph"/>
              <w:numPr>
                <w:ilvl w:val="0"/>
                <w:numId w:val="36"/>
              </w:numPr>
              <w:rPr>
                <w:color w:val="002060"/>
              </w:rPr>
            </w:pPr>
            <w:r w:rsidRPr="00F90B46">
              <w:rPr>
                <w:color w:val="002060"/>
              </w:rPr>
              <w:t>Ability to work with minim</w:t>
            </w:r>
            <w:r w:rsidR="004622C5" w:rsidRPr="00F90B46">
              <w:rPr>
                <w:color w:val="002060"/>
              </w:rPr>
              <w:t>al direction and supervision.</w:t>
            </w:r>
          </w:p>
          <w:p w:rsidR="0016120C" w:rsidRPr="00F90B46" w:rsidRDefault="00A544E9" w:rsidP="004622C5">
            <w:pPr>
              <w:pStyle w:val="ListParagraph"/>
              <w:numPr>
                <w:ilvl w:val="0"/>
                <w:numId w:val="36"/>
              </w:numPr>
              <w:rPr>
                <w:color w:val="002060"/>
              </w:rPr>
            </w:pPr>
            <w:r w:rsidRPr="00F90B46">
              <w:rPr>
                <w:color w:val="002060"/>
              </w:rPr>
              <w:t>Excellent time management skills</w:t>
            </w:r>
            <w:r w:rsidR="004622C5" w:rsidRPr="00F90B46">
              <w:rPr>
                <w:color w:val="002060"/>
              </w:rPr>
              <w:t>.</w:t>
            </w:r>
          </w:p>
          <w:p w:rsidR="007613E4" w:rsidRPr="00F90B46" w:rsidRDefault="007613E4" w:rsidP="004622C5">
            <w:pPr>
              <w:pStyle w:val="ListParagraph"/>
              <w:numPr>
                <w:ilvl w:val="0"/>
                <w:numId w:val="36"/>
              </w:numPr>
              <w:rPr>
                <w:color w:val="002060"/>
              </w:rPr>
            </w:pPr>
            <w:r w:rsidRPr="00F90B46">
              <w:rPr>
                <w:color w:val="002060"/>
              </w:rPr>
              <w:t>Enthusiasm, energy and interpersonal skills.</w:t>
            </w:r>
          </w:p>
          <w:p w:rsidR="004622C5" w:rsidRPr="00F90B46" w:rsidRDefault="004622C5" w:rsidP="004622C5">
            <w:pPr>
              <w:pStyle w:val="ListParagraph"/>
              <w:ind w:left="1080"/>
              <w:rPr>
                <w:color w:val="002060"/>
              </w:rPr>
            </w:pPr>
          </w:p>
        </w:tc>
        <w:bookmarkStart w:id="0" w:name="_GoBack"/>
        <w:bookmarkEnd w:id="0"/>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A544E9" w:rsidRPr="00F90B46" w:rsidRDefault="00A544E9" w:rsidP="00BC05EF">
            <w:pPr>
              <w:pStyle w:val="ListParagraph"/>
              <w:numPr>
                <w:ilvl w:val="0"/>
                <w:numId w:val="34"/>
              </w:numPr>
              <w:jc w:val="both"/>
              <w:rPr>
                <w:color w:val="002060"/>
              </w:rPr>
            </w:pPr>
            <w:r w:rsidRPr="00F90B46">
              <w:rPr>
                <w:color w:val="002060"/>
              </w:rPr>
              <w:t>Minimum requirement of Diploma of Community Services or other relevant or appropriate tertiary qualifications and/or experience relevant to this position.</w:t>
            </w:r>
          </w:p>
          <w:p w:rsidR="00A544E9" w:rsidRPr="00F90B46" w:rsidRDefault="00A544E9" w:rsidP="009C7347">
            <w:pPr>
              <w:pStyle w:val="ListParagraph"/>
              <w:numPr>
                <w:ilvl w:val="0"/>
                <w:numId w:val="34"/>
              </w:numPr>
              <w:jc w:val="both"/>
              <w:rPr>
                <w:color w:val="002060"/>
              </w:rPr>
            </w:pPr>
            <w:r w:rsidRPr="00F90B46">
              <w:rPr>
                <w:color w:val="002060"/>
              </w:rPr>
              <w:t>Completed application must include</w:t>
            </w:r>
            <w:r w:rsidR="009C7347">
              <w:rPr>
                <w:color w:val="002060"/>
              </w:rPr>
              <w:t xml:space="preserve"> a detailed cover letter setting out your </w:t>
            </w:r>
            <w:proofErr w:type="gramStart"/>
            <w:r w:rsidR="009C7347">
              <w:rPr>
                <w:color w:val="002060"/>
              </w:rPr>
              <w:t>skills which align</w:t>
            </w:r>
            <w:proofErr w:type="gramEnd"/>
            <w:r w:rsidR="009C7347">
              <w:rPr>
                <w:color w:val="002060"/>
              </w:rPr>
              <w:t xml:space="preserve"> to the Key Selection Criteria and</w:t>
            </w:r>
            <w:r w:rsidRPr="00F90B46">
              <w:rPr>
                <w:color w:val="002060"/>
              </w:rPr>
              <w:t xml:space="preserve"> a current resume that contains or has attached, the name, address and telephone numbers of three referees.</w:t>
            </w:r>
          </w:p>
        </w:tc>
      </w:tr>
    </w:tbl>
    <w:p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620632" w:rsidRPr="00F90B46" w:rsidRDefault="00620632" w:rsidP="00BC05EF">
            <w:pPr>
              <w:pStyle w:val="ListParagraph"/>
              <w:numPr>
                <w:ilvl w:val="0"/>
                <w:numId w:val="34"/>
              </w:numPr>
              <w:jc w:val="both"/>
              <w:rPr>
                <w:color w:val="002060"/>
              </w:rPr>
            </w:pPr>
            <w:r w:rsidRPr="00F90B46">
              <w:rPr>
                <w:color w:val="002060"/>
              </w:rPr>
              <w:t>Current Working with Children Check (full not voluntary)</w:t>
            </w:r>
          </w:p>
          <w:p w:rsidR="00620632" w:rsidRPr="00F90B46" w:rsidRDefault="00620632" w:rsidP="00BC05EF">
            <w:pPr>
              <w:pStyle w:val="ListParagraph"/>
              <w:numPr>
                <w:ilvl w:val="0"/>
                <w:numId w:val="34"/>
              </w:numPr>
              <w:jc w:val="both"/>
              <w:rPr>
                <w:color w:val="002060"/>
              </w:rPr>
            </w:pPr>
            <w:r w:rsidRPr="00F90B46">
              <w:rPr>
                <w:color w:val="002060"/>
              </w:rPr>
              <w:t xml:space="preserve">Current Victorian Police Check (with no findings) </w:t>
            </w:r>
          </w:p>
          <w:p w:rsidR="00620632" w:rsidRPr="00F90B46" w:rsidRDefault="00620632" w:rsidP="00BC05EF">
            <w:pPr>
              <w:pStyle w:val="ListParagraph"/>
              <w:numPr>
                <w:ilvl w:val="0"/>
                <w:numId w:val="34"/>
              </w:numPr>
              <w:jc w:val="both"/>
              <w:rPr>
                <w:color w:val="002060"/>
              </w:rPr>
            </w:pPr>
            <w:r w:rsidRPr="00F90B46">
              <w:rPr>
                <w:color w:val="002060"/>
              </w:rPr>
              <w:t>Compliance with Quantum</w:t>
            </w:r>
            <w:r w:rsidR="00987B5E" w:rsidRPr="00F90B46">
              <w:rPr>
                <w:color w:val="002060"/>
              </w:rPr>
              <w:t>’</w:t>
            </w:r>
            <w:r w:rsidRPr="00F90B46">
              <w:rPr>
                <w:color w:val="002060"/>
              </w:rPr>
              <w:t xml:space="preserve">s </w:t>
            </w:r>
            <w:r w:rsidR="00987B5E" w:rsidRPr="00F90B46">
              <w:rPr>
                <w:color w:val="002060"/>
              </w:rPr>
              <w:t>Child Safe Standards</w:t>
            </w:r>
          </w:p>
          <w:p w:rsidR="00C3184F" w:rsidRPr="00F90B46" w:rsidRDefault="00C3184F" w:rsidP="00BC05EF">
            <w:pPr>
              <w:pStyle w:val="ListParagraph"/>
              <w:numPr>
                <w:ilvl w:val="0"/>
                <w:numId w:val="34"/>
              </w:numPr>
              <w:jc w:val="both"/>
              <w:rPr>
                <w:color w:val="002060"/>
              </w:rPr>
            </w:pPr>
            <w:r w:rsidRPr="00F90B46">
              <w:rPr>
                <w:color w:val="002060"/>
              </w:rPr>
              <w:t>The successful applicant must hold a</w:t>
            </w:r>
            <w:r w:rsidR="007C3204" w:rsidRPr="00F90B46">
              <w:rPr>
                <w:color w:val="002060"/>
              </w:rPr>
              <w:t xml:space="preserve"> valid Victorian Driver's Licence</w:t>
            </w:r>
            <w:r w:rsidRPr="00F90B46">
              <w:rPr>
                <w:color w:val="002060"/>
              </w:rPr>
              <w:t xml:space="preserve"> that is not at risk of cancellation.</w:t>
            </w:r>
          </w:p>
          <w:p w:rsidR="00C3184F" w:rsidRPr="00F90B46" w:rsidRDefault="00C3184F" w:rsidP="00BC05EF">
            <w:pPr>
              <w:pStyle w:val="ListParagraph"/>
              <w:numPr>
                <w:ilvl w:val="0"/>
                <w:numId w:val="34"/>
              </w:numPr>
              <w:jc w:val="both"/>
              <w:rPr>
                <w:color w:val="002060"/>
              </w:rPr>
            </w:pPr>
            <w:r w:rsidRPr="00F90B46">
              <w:rPr>
                <w:color w:val="002060"/>
              </w:rPr>
              <w:t>The successful applicant is required to comply with the policies of Quantum Support Services Inc.</w:t>
            </w:r>
          </w:p>
          <w:p w:rsidR="00201A5C" w:rsidRPr="00F90B46" w:rsidRDefault="00201A5C" w:rsidP="00BC05EF">
            <w:pPr>
              <w:pStyle w:val="ListParagraph"/>
              <w:numPr>
                <w:ilvl w:val="0"/>
                <w:numId w:val="34"/>
              </w:numPr>
              <w:jc w:val="both"/>
              <w:rPr>
                <w:color w:val="002060"/>
              </w:rPr>
            </w:pPr>
            <w:r w:rsidRPr="00F90B46">
              <w:rPr>
                <w:color w:val="002060"/>
              </w:rPr>
              <w:t>This position is subject to an annual Review.</w:t>
            </w:r>
          </w:p>
        </w:tc>
      </w:tr>
    </w:tbl>
    <w:p w:rsidR="00620632" w:rsidRPr="00F90B46"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F90B46" w:rsidRPr="00F90B46" w:rsidTr="00EE55C0">
        <w:trPr>
          <w:trHeight w:val="384"/>
        </w:trPr>
        <w:tc>
          <w:tcPr>
            <w:tcW w:w="10456" w:type="dxa"/>
            <w:gridSpan w:val="4"/>
            <w:shd w:val="clear" w:color="auto" w:fill="5B9BD5" w:themeFill="accent1"/>
            <w:vAlign w:val="center"/>
          </w:tcPr>
          <w:p w:rsidR="00AA4F69" w:rsidRPr="00F90B46" w:rsidRDefault="00AA4F69" w:rsidP="00EE55C0">
            <w:pPr>
              <w:rPr>
                <w:color w:val="002060"/>
              </w:rPr>
            </w:pPr>
            <w:r w:rsidRPr="00F90B46">
              <w:rPr>
                <w:b/>
                <w:color w:val="002060"/>
              </w:rPr>
              <w:t xml:space="preserve">Acknowledgement </w:t>
            </w:r>
          </w:p>
        </w:tc>
      </w:tr>
      <w:tr w:rsidR="00F90B46" w:rsidRPr="00F90B46" w:rsidTr="00AA4F69">
        <w:trPr>
          <w:trHeight w:val="416"/>
        </w:trPr>
        <w:tc>
          <w:tcPr>
            <w:tcW w:w="10456" w:type="dxa"/>
            <w:gridSpan w:val="4"/>
            <w:vAlign w:val="center"/>
          </w:tcPr>
          <w:p w:rsidR="00AA4F69" w:rsidRPr="00F90B46" w:rsidRDefault="00AA4F69" w:rsidP="00AA4F69">
            <w:pPr>
              <w:rPr>
                <w:color w:val="002060"/>
              </w:rPr>
            </w:pPr>
            <w:r w:rsidRPr="00F90B46">
              <w:rPr>
                <w:color w:val="002060"/>
              </w:rPr>
              <w:t>Please sign and date to acknowledge you have read and understood this position description.</w:t>
            </w:r>
          </w:p>
        </w:tc>
      </w:tr>
      <w:tr w:rsidR="00F90B46" w:rsidRPr="00F90B46" w:rsidTr="00AA4F69">
        <w:trPr>
          <w:trHeight w:val="692"/>
        </w:trPr>
        <w:tc>
          <w:tcPr>
            <w:tcW w:w="2689" w:type="dxa"/>
            <w:vAlign w:val="center"/>
          </w:tcPr>
          <w:p w:rsidR="00AA4F69" w:rsidRPr="00F90B46" w:rsidRDefault="00AA4F69" w:rsidP="00EE55C0">
            <w:pPr>
              <w:rPr>
                <w:b/>
                <w:color w:val="002060"/>
              </w:rPr>
            </w:pPr>
            <w:r w:rsidRPr="00F90B46">
              <w:rPr>
                <w:b/>
                <w:color w:val="002060"/>
              </w:rPr>
              <w:t>Name (employee)</w:t>
            </w:r>
          </w:p>
        </w:tc>
        <w:tc>
          <w:tcPr>
            <w:tcW w:w="3260" w:type="dxa"/>
            <w:vAlign w:val="center"/>
          </w:tcPr>
          <w:p w:rsidR="00AA4F69" w:rsidRPr="00F90B46" w:rsidRDefault="00AA4F69" w:rsidP="00AA4F69">
            <w:pPr>
              <w:pStyle w:val="ListParagraph"/>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pStyle w:val="ListParagraph"/>
              <w:rPr>
                <w:color w:val="002060"/>
              </w:rPr>
            </w:pPr>
          </w:p>
        </w:tc>
      </w:tr>
      <w:tr w:rsidR="00AA4F69" w:rsidRPr="00F90B46" w:rsidTr="00AA4F69">
        <w:trPr>
          <w:trHeight w:val="628"/>
        </w:trPr>
        <w:tc>
          <w:tcPr>
            <w:tcW w:w="2689" w:type="dxa"/>
            <w:vAlign w:val="center"/>
          </w:tcPr>
          <w:p w:rsidR="00AA4F69" w:rsidRPr="00F90B46" w:rsidRDefault="00AA4F69" w:rsidP="00EE55C0">
            <w:pPr>
              <w:rPr>
                <w:b/>
                <w:color w:val="002060"/>
              </w:rPr>
            </w:pPr>
            <w:r w:rsidRPr="00F90B46">
              <w:rPr>
                <w:b/>
                <w:color w:val="002060"/>
              </w:rPr>
              <w:t>Name (line-manager)</w:t>
            </w:r>
          </w:p>
        </w:tc>
        <w:tc>
          <w:tcPr>
            <w:tcW w:w="3260" w:type="dxa"/>
            <w:vAlign w:val="center"/>
          </w:tcPr>
          <w:p w:rsidR="00AA4F69" w:rsidRPr="00F90B46" w:rsidRDefault="00AA4F69" w:rsidP="00AA4F69">
            <w:pPr>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rPr>
                <w:color w:val="002060"/>
              </w:rPr>
            </w:pPr>
          </w:p>
        </w:tc>
      </w:tr>
    </w:tbl>
    <w:p w:rsidR="00914508" w:rsidRPr="00F90B46" w:rsidRDefault="00914508">
      <w:pPr>
        <w:rPr>
          <w:color w:val="002060"/>
        </w:rPr>
      </w:pP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F90B46" w:rsidRPr="00F90B46" w:rsidTr="004940F6">
        <w:tc>
          <w:tcPr>
            <w:tcW w:w="2737" w:type="dxa"/>
          </w:tcPr>
          <w:p w:rsidR="004940F6" w:rsidRPr="00F90B46" w:rsidRDefault="004F5065">
            <w:pPr>
              <w:rPr>
                <w:color w:val="002060"/>
              </w:rPr>
            </w:pPr>
            <w:r>
              <w:rPr>
                <w:color w:val="002060"/>
              </w:rPr>
              <w:t>Document Created</w:t>
            </w:r>
          </w:p>
        </w:tc>
        <w:tc>
          <w:tcPr>
            <w:tcW w:w="1760" w:type="dxa"/>
          </w:tcPr>
          <w:p w:rsidR="004940F6" w:rsidRPr="00F90B46" w:rsidRDefault="004F5065">
            <w:pPr>
              <w:rPr>
                <w:color w:val="002060"/>
              </w:rPr>
            </w:pPr>
            <w:r>
              <w:rPr>
                <w:color w:val="002060"/>
              </w:rPr>
              <w:t>1.</w:t>
            </w:r>
          </w:p>
        </w:tc>
        <w:tc>
          <w:tcPr>
            <w:tcW w:w="2899" w:type="dxa"/>
          </w:tcPr>
          <w:p w:rsidR="004940F6" w:rsidRPr="00F90B46" w:rsidRDefault="004F5065">
            <w:pPr>
              <w:rPr>
                <w:color w:val="002060"/>
              </w:rPr>
            </w:pPr>
            <w:r>
              <w:rPr>
                <w:color w:val="002060"/>
              </w:rPr>
              <w:t>13</w:t>
            </w:r>
            <w:r w:rsidRPr="004F5065">
              <w:rPr>
                <w:color w:val="002060"/>
                <w:vertAlign w:val="superscript"/>
              </w:rPr>
              <w:t>th</w:t>
            </w:r>
            <w:r>
              <w:rPr>
                <w:color w:val="002060"/>
              </w:rPr>
              <w:t xml:space="preserve"> November 2020</w:t>
            </w:r>
          </w:p>
        </w:tc>
        <w:tc>
          <w:tcPr>
            <w:tcW w:w="3060" w:type="dxa"/>
          </w:tcPr>
          <w:p w:rsidR="004940F6" w:rsidRPr="00F90B46" w:rsidRDefault="004F5065">
            <w:pPr>
              <w:rPr>
                <w:color w:val="002060"/>
              </w:rPr>
            </w:pPr>
            <w:r>
              <w:rPr>
                <w:color w:val="002060"/>
              </w:rPr>
              <w:t>13</w:t>
            </w:r>
            <w:r w:rsidRPr="004F5065">
              <w:rPr>
                <w:color w:val="002060"/>
                <w:vertAlign w:val="superscript"/>
              </w:rPr>
              <w:t>th</w:t>
            </w:r>
            <w:r>
              <w:rPr>
                <w:color w:val="002060"/>
              </w:rPr>
              <w:t xml:space="preserve"> November 2023</w:t>
            </w: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F0B3C"/>
    <w:multiLevelType w:val="multilevel"/>
    <w:tmpl w:val="6B7C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433EF5"/>
    <w:multiLevelType w:val="hybridMultilevel"/>
    <w:tmpl w:val="F4A2A9BA"/>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C2C62"/>
    <w:multiLevelType w:val="hybridMultilevel"/>
    <w:tmpl w:val="B07C2A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62CDE"/>
    <w:multiLevelType w:val="multilevel"/>
    <w:tmpl w:val="E362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7"/>
  </w:num>
  <w:num w:numId="3">
    <w:abstractNumId w:val="14"/>
  </w:num>
  <w:num w:numId="4">
    <w:abstractNumId w:val="42"/>
  </w:num>
  <w:num w:numId="5">
    <w:abstractNumId w:val="20"/>
  </w:num>
  <w:num w:numId="6">
    <w:abstractNumId w:val="28"/>
  </w:num>
  <w:num w:numId="7">
    <w:abstractNumId w:val="30"/>
  </w:num>
  <w:num w:numId="8">
    <w:abstractNumId w:val="35"/>
  </w:num>
  <w:num w:numId="9">
    <w:abstractNumId w:val="38"/>
  </w:num>
  <w:num w:numId="10">
    <w:abstractNumId w:val="0"/>
  </w:num>
  <w:num w:numId="11">
    <w:abstractNumId w:val="22"/>
  </w:num>
  <w:num w:numId="12">
    <w:abstractNumId w:val="11"/>
  </w:num>
  <w:num w:numId="13">
    <w:abstractNumId w:val="6"/>
  </w:num>
  <w:num w:numId="14">
    <w:abstractNumId w:val="36"/>
  </w:num>
  <w:num w:numId="15">
    <w:abstractNumId w:val="33"/>
  </w:num>
  <w:num w:numId="16">
    <w:abstractNumId w:val="15"/>
  </w:num>
  <w:num w:numId="17">
    <w:abstractNumId w:val="1"/>
  </w:num>
  <w:num w:numId="18">
    <w:abstractNumId w:val="9"/>
  </w:num>
  <w:num w:numId="19">
    <w:abstractNumId w:val="37"/>
  </w:num>
  <w:num w:numId="20">
    <w:abstractNumId w:val="25"/>
  </w:num>
  <w:num w:numId="21">
    <w:abstractNumId w:val="41"/>
  </w:num>
  <w:num w:numId="22">
    <w:abstractNumId w:val="23"/>
  </w:num>
  <w:num w:numId="23">
    <w:abstractNumId w:val="16"/>
  </w:num>
  <w:num w:numId="24">
    <w:abstractNumId w:val="8"/>
  </w:num>
  <w:num w:numId="25">
    <w:abstractNumId w:val="2"/>
  </w:num>
  <w:num w:numId="26">
    <w:abstractNumId w:val="31"/>
  </w:num>
  <w:num w:numId="27">
    <w:abstractNumId w:val="27"/>
  </w:num>
  <w:num w:numId="28">
    <w:abstractNumId w:val="32"/>
  </w:num>
  <w:num w:numId="29">
    <w:abstractNumId w:val="26"/>
  </w:num>
  <w:num w:numId="30">
    <w:abstractNumId w:val="44"/>
  </w:num>
  <w:num w:numId="31">
    <w:abstractNumId w:val="29"/>
  </w:num>
  <w:num w:numId="32">
    <w:abstractNumId w:val="34"/>
  </w:num>
  <w:num w:numId="33">
    <w:abstractNumId w:val="12"/>
  </w:num>
  <w:num w:numId="34">
    <w:abstractNumId w:val="4"/>
  </w:num>
  <w:num w:numId="35">
    <w:abstractNumId w:val="5"/>
  </w:num>
  <w:num w:numId="36">
    <w:abstractNumId w:val="3"/>
  </w:num>
  <w:num w:numId="37">
    <w:abstractNumId w:val="43"/>
  </w:num>
  <w:num w:numId="38">
    <w:abstractNumId w:val="7"/>
  </w:num>
  <w:num w:numId="39">
    <w:abstractNumId w:val="21"/>
  </w:num>
  <w:num w:numId="40">
    <w:abstractNumId w:val="24"/>
  </w:num>
  <w:num w:numId="41">
    <w:abstractNumId w:val="40"/>
  </w:num>
  <w:num w:numId="42">
    <w:abstractNumId w:val="19"/>
  </w:num>
  <w:num w:numId="43">
    <w:abstractNumId w:val="13"/>
  </w:num>
  <w:num w:numId="44">
    <w:abstractNumId w:val="3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C1A3B"/>
    <w:rsid w:val="001F5628"/>
    <w:rsid w:val="001F65CE"/>
    <w:rsid w:val="00201A5C"/>
    <w:rsid w:val="002558BD"/>
    <w:rsid w:val="00271E4F"/>
    <w:rsid w:val="002A29E5"/>
    <w:rsid w:val="002C1CB3"/>
    <w:rsid w:val="002E5DC9"/>
    <w:rsid w:val="002E7DB5"/>
    <w:rsid w:val="00332D75"/>
    <w:rsid w:val="00377270"/>
    <w:rsid w:val="004066F9"/>
    <w:rsid w:val="004622C5"/>
    <w:rsid w:val="0048014D"/>
    <w:rsid w:val="004940F6"/>
    <w:rsid w:val="004D1B50"/>
    <w:rsid w:val="004F5065"/>
    <w:rsid w:val="00502430"/>
    <w:rsid w:val="00502E45"/>
    <w:rsid w:val="00565E39"/>
    <w:rsid w:val="00567E25"/>
    <w:rsid w:val="0058003F"/>
    <w:rsid w:val="005D61FE"/>
    <w:rsid w:val="00620632"/>
    <w:rsid w:val="00651421"/>
    <w:rsid w:val="006C6ED3"/>
    <w:rsid w:val="006F3CA5"/>
    <w:rsid w:val="00721475"/>
    <w:rsid w:val="0075109E"/>
    <w:rsid w:val="00757AE6"/>
    <w:rsid w:val="007613E4"/>
    <w:rsid w:val="0076436D"/>
    <w:rsid w:val="00784781"/>
    <w:rsid w:val="007969D3"/>
    <w:rsid w:val="007B45A5"/>
    <w:rsid w:val="007C3204"/>
    <w:rsid w:val="007E5C47"/>
    <w:rsid w:val="008139CB"/>
    <w:rsid w:val="00813C91"/>
    <w:rsid w:val="008506CB"/>
    <w:rsid w:val="008B6434"/>
    <w:rsid w:val="008B68F1"/>
    <w:rsid w:val="00914508"/>
    <w:rsid w:val="009630DE"/>
    <w:rsid w:val="00965F25"/>
    <w:rsid w:val="00984649"/>
    <w:rsid w:val="00987B5E"/>
    <w:rsid w:val="009C7347"/>
    <w:rsid w:val="00A544E9"/>
    <w:rsid w:val="00A836C7"/>
    <w:rsid w:val="00A92AEF"/>
    <w:rsid w:val="00AA2789"/>
    <w:rsid w:val="00AA4F69"/>
    <w:rsid w:val="00AB1E13"/>
    <w:rsid w:val="00AE1C5B"/>
    <w:rsid w:val="00B10981"/>
    <w:rsid w:val="00B4418A"/>
    <w:rsid w:val="00B77986"/>
    <w:rsid w:val="00B843DF"/>
    <w:rsid w:val="00B8597F"/>
    <w:rsid w:val="00B9413A"/>
    <w:rsid w:val="00BB38B8"/>
    <w:rsid w:val="00BC05EF"/>
    <w:rsid w:val="00BF4CDE"/>
    <w:rsid w:val="00C3184F"/>
    <w:rsid w:val="00C35A23"/>
    <w:rsid w:val="00C72F6A"/>
    <w:rsid w:val="00CC2CDB"/>
    <w:rsid w:val="00CD726F"/>
    <w:rsid w:val="00CE0577"/>
    <w:rsid w:val="00CF23F3"/>
    <w:rsid w:val="00D30707"/>
    <w:rsid w:val="00D61C42"/>
    <w:rsid w:val="00DE38B7"/>
    <w:rsid w:val="00E14862"/>
    <w:rsid w:val="00E56812"/>
    <w:rsid w:val="00ED6124"/>
    <w:rsid w:val="00F50AD3"/>
    <w:rsid w:val="00F8247B"/>
    <w:rsid w:val="00F90B46"/>
    <w:rsid w:val="00FA4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E25"/>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6BE7-D0B4-410D-A675-3BCA5555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3</cp:revision>
  <dcterms:created xsi:type="dcterms:W3CDTF">2021-01-06T03:40:00Z</dcterms:created>
  <dcterms:modified xsi:type="dcterms:W3CDTF">2021-02-23T21:18:00Z</dcterms:modified>
</cp:coreProperties>
</file>