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7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2454"/>
        <w:gridCol w:w="6562"/>
      </w:tblGrid>
      <w:tr w:rsidR="00733B0B" w:rsidRPr="00E06C10" w:rsidTr="00733B0B">
        <w:tc>
          <w:tcPr>
            <w:tcW w:w="1137" w:type="pct"/>
            <w:shd w:val="clear" w:color="auto" w:fill="F2F2F2"/>
          </w:tcPr>
          <w:p w:rsidR="00733B0B" w:rsidRPr="00E06C10" w:rsidRDefault="00733B0B" w:rsidP="00733B0B">
            <w:pPr>
              <w:pStyle w:val="Label"/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Position Title:</w:t>
            </w:r>
          </w:p>
        </w:tc>
        <w:tc>
          <w:tcPr>
            <w:tcW w:w="3863" w:type="pct"/>
          </w:tcPr>
          <w:p w:rsidR="00733B0B" w:rsidRPr="00E06C10" w:rsidRDefault="00E62684" w:rsidP="00F80722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 xml:space="preserve">Anti-Violence </w:t>
            </w:r>
            <w:r w:rsidR="00E07887" w:rsidRPr="00E06C10">
              <w:rPr>
                <w:rFonts w:ascii="Arial" w:hAnsi="Arial" w:cs="Arial"/>
                <w:sz w:val="22"/>
              </w:rPr>
              <w:t xml:space="preserve">Case </w:t>
            </w:r>
            <w:r w:rsidRPr="00E06C10">
              <w:rPr>
                <w:rFonts w:ascii="Arial" w:hAnsi="Arial" w:cs="Arial"/>
                <w:sz w:val="22"/>
              </w:rPr>
              <w:t xml:space="preserve">Worker </w:t>
            </w:r>
          </w:p>
        </w:tc>
      </w:tr>
      <w:tr w:rsidR="00733B0B" w:rsidRPr="00E06C10" w:rsidTr="00733B0B">
        <w:tc>
          <w:tcPr>
            <w:tcW w:w="1137" w:type="pct"/>
            <w:shd w:val="clear" w:color="auto" w:fill="F2F2F2"/>
          </w:tcPr>
          <w:p w:rsidR="00733B0B" w:rsidRPr="00E06C10" w:rsidRDefault="00733B0B" w:rsidP="00733B0B">
            <w:pPr>
              <w:pStyle w:val="Label"/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Employer:</w:t>
            </w:r>
          </w:p>
        </w:tc>
        <w:tc>
          <w:tcPr>
            <w:tcW w:w="3863" w:type="pct"/>
          </w:tcPr>
          <w:p w:rsidR="00733B0B" w:rsidRPr="00E06C10" w:rsidRDefault="00733B0B" w:rsidP="00733B0B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Liverpool Women’s Health Centre</w:t>
            </w:r>
          </w:p>
        </w:tc>
      </w:tr>
      <w:tr w:rsidR="00733B0B" w:rsidRPr="00E06C10" w:rsidTr="00733B0B">
        <w:tc>
          <w:tcPr>
            <w:tcW w:w="1137" w:type="pct"/>
            <w:shd w:val="clear" w:color="auto" w:fill="F2F2F2"/>
          </w:tcPr>
          <w:p w:rsidR="00733B0B" w:rsidRPr="00E06C10" w:rsidRDefault="00733B0B" w:rsidP="00733B0B">
            <w:pPr>
              <w:pStyle w:val="Label"/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Award/Classification:</w:t>
            </w:r>
          </w:p>
        </w:tc>
        <w:tc>
          <w:tcPr>
            <w:tcW w:w="3863" w:type="pct"/>
          </w:tcPr>
          <w:p w:rsidR="00733B0B" w:rsidRPr="00E06C10" w:rsidRDefault="00733B0B" w:rsidP="00733B0B">
            <w:pPr>
              <w:rPr>
                <w:rFonts w:ascii="Arial" w:hAnsi="Arial" w:cs="Arial"/>
                <w:sz w:val="22"/>
              </w:rPr>
            </w:pPr>
            <w:r w:rsidRPr="00E06C10">
              <w:rPr>
                <w:rStyle w:val="bodysmall"/>
                <w:rFonts w:ascii="Arial" w:hAnsi="Arial" w:cs="Arial"/>
                <w:sz w:val="22"/>
              </w:rPr>
              <w:t xml:space="preserve">Salary paid under the Social, Community, Home Care and Disability Services (SCHADS) Industry Award 2010 at level 4, pay point to be negotiated depending on qualifications and experience. </w:t>
            </w:r>
          </w:p>
        </w:tc>
      </w:tr>
      <w:tr w:rsidR="00733B0B" w:rsidRPr="00E06C10" w:rsidTr="00733B0B">
        <w:tc>
          <w:tcPr>
            <w:tcW w:w="1137" w:type="pct"/>
            <w:shd w:val="clear" w:color="auto" w:fill="F2F2F2"/>
          </w:tcPr>
          <w:p w:rsidR="00733B0B" w:rsidRPr="00E06C10" w:rsidRDefault="00733B0B" w:rsidP="00733B0B">
            <w:pPr>
              <w:pStyle w:val="Label"/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Above Award Conditions</w:t>
            </w:r>
          </w:p>
        </w:tc>
        <w:tc>
          <w:tcPr>
            <w:tcW w:w="3863" w:type="pct"/>
          </w:tcPr>
          <w:p w:rsidR="00733B0B" w:rsidRPr="00E06C10" w:rsidRDefault="00733B0B" w:rsidP="00733B0B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 xml:space="preserve">Generous above Award conditions apply, including 35 hour work week (pro rata), additional leave entitlements and </w:t>
            </w:r>
            <w:r w:rsidRPr="00E06C10">
              <w:rPr>
                <w:rStyle w:val="bodysmall"/>
                <w:rFonts w:ascii="Arial" w:hAnsi="Arial" w:cs="Arial"/>
                <w:sz w:val="22"/>
              </w:rPr>
              <w:t>Salary Sacrifice available to the successful applicant.</w:t>
            </w:r>
          </w:p>
        </w:tc>
      </w:tr>
      <w:tr w:rsidR="00733B0B" w:rsidRPr="00E06C10" w:rsidTr="00733B0B">
        <w:tc>
          <w:tcPr>
            <w:tcW w:w="1137" w:type="pct"/>
            <w:shd w:val="clear" w:color="auto" w:fill="F2F2F2"/>
          </w:tcPr>
          <w:p w:rsidR="00733B0B" w:rsidRPr="00E06C10" w:rsidRDefault="00733B0B" w:rsidP="00733B0B">
            <w:pPr>
              <w:pStyle w:val="Label"/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Responsible to:</w:t>
            </w:r>
          </w:p>
        </w:tc>
        <w:tc>
          <w:tcPr>
            <w:tcW w:w="3863" w:type="pct"/>
          </w:tcPr>
          <w:p w:rsidR="00733B0B" w:rsidRPr="00E06C10" w:rsidRDefault="00733B0B" w:rsidP="00733B0B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Manager</w:t>
            </w:r>
          </w:p>
        </w:tc>
      </w:tr>
      <w:tr w:rsidR="00733B0B" w:rsidRPr="00E06C10" w:rsidTr="00733B0B">
        <w:tc>
          <w:tcPr>
            <w:tcW w:w="1137" w:type="pct"/>
            <w:shd w:val="clear" w:color="auto" w:fill="F2F2F2"/>
          </w:tcPr>
          <w:p w:rsidR="00733B0B" w:rsidRPr="00E06C10" w:rsidRDefault="00733B0B" w:rsidP="00733B0B">
            <w:pPr>
              <w:pStyle w:val="Label"/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Hours per week:</w:t>
            </w:r>
          </w:p>
        </w:tc>
        <w:tc>
          <w:tcPr>
            <w:tcW w:w="3863" w:type="pct"/>
          </w:tcPr>
          <w:p w:rsidR="00733B0B" w:rsidRPr="00E06C10" w:rsidRDefault="004A70AF" w:rsidP="00733B0B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14-28</w:t>
            </w:r>
            <w:r w:rsidR="00733B0B" w:rsidRPr="00E06C10">
              <w:rPr>
                <w:rFonts w:ascii="Arial" w:hAnsi="Arial" w:cs="Arial"/>
                <w:sz w:val="22"/>
              </w:rPr>
              <w:t xml:space="preserve"> hours per week </w:t>
            </w:r>
            <w:r w:rsidRPr="00E06C10">
              <w:rPr>
                <w:rFonts w:ascii="Arial" w:hAnsi="Arial" w:cs="Arial"/>
                <w:sz w:val="22"/>
              </w:rPr>
              <w:t xml:space="preserve">(negotiable) </w:t>
            </w:r>
          </w:p>
        </w:tc>
      </w:tr>
      <w:tr w:rsidR="00E62684" w:rsidRPr="00E06C10" w:rsidTr="00733B0B">
        <w:tc>
          <w:tcPr>
            <w:tcW w:w="1137" w:type="pct"/>
            <w:shd w:val="clear" w:color="auto" w:fill="F2F2F2"/>
          </w:tcPr>
          <w:p w:rsidR="00E62684" w:rsidRPr="00E06C10" w:rsidRDefault="00E62684" w:rsidP="00733B0B">
            <w:pPr>
              <w:pStyle w:val="Label"/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 xml:space="preserve">Number of positions Available </w:t>
            </w:r>
          </w:p>
        </w:tc>
        <w:tc>
          <w:tcPr>
            <w:tcW w:w="3863" w:type="pct"/>
          </w:tcPr>
          <w:p w:rsidR="00E62684" w:rsidRPr="00E06C10" w:rsidRDefault="00E62684" w:rsidP="00733B0B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2</w:t>
            </w:r>
          </w:p>
        </w:tc>
      </w:tr>
      <w:tr w:rsidR="00733B0B" w:rsidRPr="00E06C10" w:rsidTr="00733B0B">
        <w:tc>
          <w:tcPr>
            <w:tcW w:w="1137" w:type="pct"/>
            <w:shd w:val="clear" w:color="auto" w:fill="F2F2F2"/>
          </w:tcPr>
          <w:p w:rsidR="00733B0B" w:rsidRPr="00E06C10" w:rsidRDefault="00733B0B" w:rsidP="00733B0B">
            <w:pPr>
              <w:pStyle w:val="Label"/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Contract:</w:t>
            </w:r>
          </w:p>
        </w:tc>
        <w:tc>
          <w:tcPr>
            <w:tcW w:w="3863" w:type="pct"/>
          </w:tcPr>
          <w:p w:rsidR="00733B0B" w:rsidRPr="00E06C10" w:rsidRDefault="004A70AF" w:rsidP="004A70AF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12</w:t>
            </w:r>
            <w:r w:rsidR="00733B0B" w:rsidRPr="00E06C10">
              <w:rPr>
                <w:rFonts w:ascii="Arial" w:hAnsi="Arial" w:cs="Arial"/>
                <w:sz w:val="22"/>
              </w:rPr>
              <w:t xml:space="preserve"> month fixed term contract </w:t>
            </w:r>
          </w:p>
        </w:tc>
      </w:tr>
    </w:tbl>
    <w:p w:rsidR="002C29F0" w:rsidRPr="00E06C10" w:rsidRDefault="00F44A0A" w:rsidP="002C29F0">
      <w:pPr>
        <w:pStyle w:val="Secondarylabels"/>
        <w:rPr>
          <w:rFonts w:ascii="Arial" w:hAnsi="Arial" w:cs="Arial"/>
          <w:snapToGrid w:val="0"/>
          <w:sz w:val="22"/>
        </w:rPr>
      </w:pPr>
      <w:r w:rsidRPr="00E06C10">
        <w:rPr>
          <w:rFonts w:ascii="Arial" w:hAnsi="Arial" w:cs="Arial"/>
          <w:noProof/>
          <w:sz w:val="2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14CDDD4" wp14:editId="2CE70202">
            <wp:simplePos x="0" y="0"/>
            <wp:positionH relativeFrom="margin">
              <wp:posOffset>4752340</wp:posOffset>
            </wp:positionH>
            <wp:positionV relativeFrom="margin">
              <wp:posOffset>-664845</wp:posOffset>
            </wp:positionV>
            <wp:extent cx="1052195" cy="4730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HC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9F0" w:rsidRPr="00E06C10">
        <w:rPr>
          <w:rFonts w:ascii="Arial" w:hAnsi="Arial" w:cs="Arial"/>
          <w:snapToGrid w:val="0"/>
          <w:sz w:val="22"/>
        </w:rPr>
        <w:t>Summary Description</w:t>
      </w:r>
    </w:p>
    <w:p w:rsidR="002C29F0" w:rsidRPr="00E06C10" w:rsidRDefault="002C29F0" w:rsidP="00E62684">
      <w:pPr>
        <w:widowControl w:val="0"/>
        <w:tabs>
          <w:tab w:val="left" w:pos="2211"/>
        </w:tabs>
        <w:ind w:left="360"/>
        <w:jc w:val="both"/>
        <w:rPr>
          <w:rFonts w:ascii="Arial" w:hAnsi="Arial" w:cs="Arial"/>
          <w:snapToGrid w:val="0"/>
          <w:sz w:val="22"/>
        </w:rPr>
      </w:pPr>
      <w:r w:rsidRPr="00E06C10">
        <w:rPr>
          <w:rFonts w:ascii="Arial" w:hAnsi="Arial" w:cs="Arial"/>
          <w:snapToGrid w:val="0"/>
          <w:sz w:val="22"/>
        </w:rPr>
        <w:t xml:space="preserve">The </w:t>
      </w:r>
      <w:r w:rsidR="00E62684" w:rsidRPr="00E06C10">
        <w:rPr>
          <w:rFonts w:ascii="Arial" w:hAnsi="Arial" w:cs="Arial"/>
          <w:snapToGrid w:val="0"/>
          <w:sz w:val="22"/>
        </w:rPr>
        <w:t xml:space="preserve">Anti Violence </w:t>
      </w:r>
      <w:r w:rsidR="00E07887" w:rsidRPr="00E06C10">
        <w:rPr>
          <w:rFonts w:ascii="Arial" w:hAnsi="Arial" w:cs="Arial"/>
          <w:snapToGrid w:val="0"/>
          <w:sz w:val="22"/>
        </w:rPr>
        <w:t xml:space="preserve">Case </w:t>
      </w:r>
      <w:r w:rsidR="00E62684" w:rsidRPr="00E06C10">
        <w:rPr>
          <w:rFonts w:ascii="Arial" w:hAnsi="Arial" w:cs="Arial"/>
          <w:snapToGrid w:val="0"/>
          <w:sz w:val="22"/>
        </w:rPr>
        <w:t>Worker</w:t>
      </w:r>
      <w:r w:rsidR="00E07887" w:rsidRPr="00E06C10">
        <w:rPr>
          <w:rFonts w:ascii="Arial" w:hAnsi="Arial" w:cs="Arial"/>
          <w:snapToGrid w:val="0"/>
          <w:sz w:val="22"/>
        </w:rPr>
        <w:t xml:space="preserve"> role</w:t>
      </w:r>
      <w:r w:rsidRPr="00E06C10">
        <w:rPr>
          <w:rFonts w:ascii="Arial" w:hAnsi="Arial" w:cs="Arial"/>
          <w:snapToGrid w:val="0"/>
          <w:sz w:val="22"/>
        </w:rPr>
        <w:t xml:space="preserve"> is responsible for </w:t>
      </w:r>
      <w:r w:rsidR="00E62684" w:rsidRPr="00E06C10">
        <w:rPr>
          <w:rFonts w:ascii="Arial" w:hAnsi="Arial" w:cs="Arial"/>
          <w:snapToGrid w:val="0"/>
          <w:sz w:val="22"/>
        </w:rPr>
        <w:t xml:space="preserve">providing case management and/or case coordination, support, advocacy, information and referral services to women affected by domestic and family violence. This includes </w:t>
      </w:r>
      <w:r w:rsidR="0023295F" w:rsidRPr="00E06C10">
        <w:rPr>
          <w:rFonts w:ascii="Arial" w:hAnsi="Arial" w:cs="Arial"/>
          <w:snapToGrid w:val="0"/>
          <w:sz w:val="22"/>
        </w:rPr>
        <w:t>initiating and implementing strategies to</w:t>
      </w:r>
      <w:r w:rsidR="00E62684" w:rsidRPr="00E06C10">
        <w:rPr>
          <w:rFonts w:ascii="Arial" w:hAnsi="Arial" w:cs="Arial"/>
          <w:snapToGrid w:val="0"/>
          <w:sz w:val="22"/>
        </w:rPr>
        <w:t xml:space="preserve"> </w:t>
      </w:r>
      <w:r w:rsidRPr="00E06C10">
        <w:rPr>
          <w:rFonts w:ascii="Arial" w:hAnsi="Arial" w:cs="Arial"/>
          <w:snapToGrid w:val="0"/>
          <w:sz w:val="22"/>
        </w:rPr>
        <w:t>improve the health and well-being of women</w:t>
      </w:r>
      <w:r w:rsidR="00E07887" w:rsidRPr="00E06C10">
        <w:rPr>
          <w:rFonts w:ascii="Arial" w:hAnsi="Arial" w:cs="Arial"/>
          <w:snapToGrid w:val="0"/>
          <w:sz w:val="22"/>
        </w:rPr>
        <w:t xml:space="preserve"> affected by domestic and family violence in South West</w:t>
      </w:r>
      <w:r w:rsidR="0034002A">
        <w:rPr>
          <w:rFonts w:ascii="Arial" w:hAnsi="Arial" w:cs="Arial"/>
          <w:snapToGrid w:val="0"/>
          <w:sz w:val="22"/>
        </w:rPr>
        <w:t>ern Sydney, including facilitating</w:t>
      </w:r>
      <w:r w:rsidR="00E07887" w:rsidRPr="00E06C10">
        <w:rPr>
          <w:rFonts w:ascii="Arial" w:hAnsi="Arial" w:cs="Arial"/>
          <w:snapToGrid w:val="0"/>
          <w:sz w:val="22"/>
        </w:rPr>
        <w:t xml:space="preserve"> access</w:t>
      </w:r>
      <w:r w:rsidRPr="00E06C10">
        <w:rPr>
          <w:rFonts w:ascii="Arial" w:hAnsi="Arial" w:cs="Arial"/>
          <w:snapToGrid w:val="0"/>
          <w:sz w:val="22"/>
        </w:rPr>
        <w:t xml:space="preserve"> to Liverpool Women's Health Centre and its services and to other </w:t>
      </w:r>
      <w:r w:rsidR="00B25F62" w:rsidRPr="00E06C10">
        <w:rPr>
          <w:rFonts w:ascii="Arial" w:hAnsi="Arial" w:cs="Arial"/>
          <w:snapToGrid w:val="0"/>
          <w:sz w:val="22"/>
        </w:rPr>
        <w:t>appropriate mainstream services</w:t>
      </w:r>
      <w:r w:rsidRPr="00E06C10">
        <w:rPr>
          <w:rFonts w:ascii="Arial" w:hAnsi="Arial" w:cs="Arial"/>
          <w:snapToGrid w:val="0"/>
          <w:sz w:val="22"/>
        </w:rPr>
        <w:t xml:space="preserve">. </w:t>
      </w:r>
      <w:r w:rsidRPr="00E06C10">
        <w:rPr>
          <w:rFonts w:ascii="Arial" w:hAnsi="Arial" w:cs="Arial"/>
          <w:sz w:val="22"/>
        </w:rPr>
        <w:t>All work will be undertaken in accordance with the Centre’s philosophy, standards, policies and procedures</w:t>
      </w:r>
      <w:r w:rsidR="00E32E8C" w:rsidRPr="00E06C10">
        <w:rPr>
          <w:rFonts w:ascii="Arial" w:hAnsi="Arial" w:cs="Arial"/>
          <w:sz w:val="22"/>
        </w:rPr>
        <w:t xml:space="preserve"> and re</w:t>
      </w:r>
      <w:r w:rsidR="006E49A8" w:rsidRPr="00E06C10">
        <w:rPr>
          <w:rFonts w:ascii="Arial" w:hAnsi="Arial" w:cs="Arial"/>
          <w:sz w:val="22"/>
        </w:rPr>
        <w:t>lev</w:t>
      </w:r>
      <w:r w:rsidR="00E32E8C" w:rsidRPr="00E06C10">
        <w:rPr>
          <w:rFonts w:ascii="Arial" w:hAnsi="Arial" w:cs="Arial"/>
          <w:sz w:val="22"/>
        </w:rPr>
        <w:t xml:space="preserve">ant </w:t>
      </w:r>
      <w:r w:rsidRPr="00E06C10">
        <w:rPr>
          <w:rFonts w:ascii="Arial" w:hAnsi="Arial" w:cs="Arial"/>
          <w:sz w:val="22"/>
        </w:rPr>
        <w:t>legislation.</w:t>
      </w:r>
    </w:p>
    <w:p w:rsidR="002C29F0" w:rsidRPr="00E06C10" w:rsidRDefault="002C29F0" w:rsidP="00E06C10">
      <w:pPr>
        <w:pStyle w:val="Secondarylabels"/>
        <w:ind w:left="720"/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Specific Duties</w:t>
      </w:r>
    </w:p>
    <w:p w:rsidR="00E62684" w:rsidRPr="00E06C10" w:rsidRDefault="00E62684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 xml:space="preserve">To provide case management/ case coordination to women </w:t>
      </w:r>
      <w:r w:rsidR="009D629C" w:rsidRPr="00E06C10">
        <w:rPr>
          <w:rFonts w:ascii="Arial" w:hAnsi="Arial" w:cs="Arial"/>
          <w:sz w:val="22"/>
        </w:rPr>
        <w:t xml:space="preserve">affected by </w:t>
      </w:r>
      <w:r w:rsidRPr="00E06C10">
        <w:rPr>
          <w:rFonts w:ascii="Arial" w:hAnsi="Arial" w:cs="Arial"/>
          <w:sz w:val="22"/>
        </w:rPr>
        <w:t>Domestic and Family Violence (DFV)</w:t>
      </w:r>
    </w:p>
    <w:p w:rsidR="00E62684" w:rsidRPr="00E06C10" w:rsidRDefault="00E62684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To provide support, advocacy, information and referral services</w:t>
      </w:r>
      <w:r w:rsidR="009D629C" w:rsidRPr="00E06C10">
        <w:rPr>
          <w:rFonts w:ascii="Arial" w:hAnsi="Arial" w:cs="Arial"/>
          <w:sz w:val="22"/>
        </w:rPr>
        <w:t xml:space="preserve"> both in</w:t>
      </w:r>
      <w:r w:rsidR="00B94468">
        <w:rPr>
          <w:rFonts w:ascii="Arial" w:hAnsi="Arial" w:cs="Arial"/>
          <w:sz w:val="22"/>
        </w:rPr>
        <w:t xml:space="preserve"> person and over the telephone including accompanying clients to relevant services as required. </w:t>
      </w:r>
    </w:p>
    <w:p w:rsidR="009D629C" w:rsidRPr="00E06C10" w:rsidRDefault="009D629C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Empower clients to keep themselves and their families’ safe</w:t>
      </w:r>
    </w:p>
    <w:p w:rsidR="00541D99" w:rsidRPr="00E06C10" w:rsidRDefault="00541D99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Provide clients with case plans following an evidence-based risk and needs assessment of their situation</w:t>
      </w:r>
    </w:p>
    <w:p w:rsidR="00E62684" w:rsidRPr="00E06C10" w:rsidRDefault="00541D99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B</w:t>
      </w:r>
      <w:r w:rsidR="00E62684" w:rsidRPr="00E06C10">
        <w:rPr>
          <w:rFonts w:ascii="Arial" w:hAnsi="Arial" w:cs="Arial"/>
          <w:sz w:val="22"/>
        </w:rPr>
        <w:t>uild and maintain partnerships with relevant stakeholders</w:t>
      </w:r>
      <w:r w:rsidRPr="00E06C10">
        <w:rPr>
          <w:rFonts w:ascii="Arial" w:hAnsi="Arial" w:cs="Arial"/>
          <w:sz w:val="22"/>
        </w:rPr>
        <w:t xml:space="preserve"> throughout South Western Sydney</w:t>
      </w:r>
      <w:r w:rsidR="00DD0020">
        <w:rPr>
          <w:rFonts w:ascii="Arial" w:hAnsi="Arial" w:cs="Arial"/>
          <w:sz w:val="22"/>
        </w:rPr>
        <w:t xml:space="preserve"> </w:t>
      </w:r>
    </w:p>
    <w:p w:rsidR="00E06C10" w:rsidRDefault="00541D99" w:rsidP="0034002A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D</w:t>
      </w:r>
      <w:r w:rsidR="009D629C" w:rsidRPr="00E06C10">
        <w:rPr>
          <w:rFonts w:ascii="Arial" w:hAnsi="Arial" w:cs="Arial"/>
          <w:sz w:val="22"/>
        </w:rPr>
        <w:t>emonstrate professional behaviour to clients, staff, management and staff in other service systems</w:t>
      </w:r>
      <w:r w:rsidRPr="00E06C10">
        <w:rPr>
          <w:rFonts w:ascii="Arial" w:hAnsi="Arial" w:cs="Arial"/>
          <w:sz w:val="22"/>
        </w:rPr>
        <w:t xml:space="preserve">. This includes </w:t>
      </w:r>
      <w:proofErr w:type="spellStart"/>
      <w:r w:rsidRPr="00E06C10">
        <w:rPr>
          <w:rFonts w:ascii="Arial" w:hAnsi="Arial" w:cs="Arial"/>
          <w:sz w:val="22"/>
        </w:rPr>
        <w:t>recognising</w:t>
      </w:r>
      <w:proofErr w:type="spellEnd"/>
      <w:r w:rsidRPr="00E06C10">
        <w:rPr>
          <w:rFonts w:ascii="Arial" w:hAnsi="Arial" w:cs="Arial"/>
          <w:sz w:val="22"/>
        </w:rPr>
        <w:t xml:space="preserve"> and respecting the different cultural and ethnic backgrounds of all women who use the </w:t>
      </w:r>
      <w:proofErr w:type="spellStart"/>
      <w:r w:rsidRPr="00E06C10">
        <w:rPr>
          <w:rFonts w:ascii="Arial" w:hAnsi="Arial" w:cs="Arial"/>
          <w:sz w:val="22"/>
        </w:rPr>
        <w:t>centre</w:t>
      </w:r>
      <w:proofErr w:type="spellEnd"/>
    </w:p>
    <w:p w:rsidR="0034002A" w:rsidRPr="0034002A" w:rsidRDefault="00DD0020" w:rsidP="0034002A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Assist with, support and further develop/ document the internal referral processes and pathways to ensure women affected by DFV receive relevant, purposeful and empowered access to all of the holistic interdisciplinary services available at Liverpool </w:t>
      </w:r>
      <w:r w:rsidR="0034002A">
        <w:rPr>
          <w:rFonts w:ascii="Arial" w:hAnsi="Arial" w:cs="Arial"/>
          <w:sz w:val="22"/>
        </w:rPr>
        <w:t>Women’s</w:t>
      </w:r>
      <w:r>
        <w:rPr>
          <w:rFonts w:ascii="Arial" w:hAnsi="Arial" w:cs="Arial"/>
          <w:sz w:val="22"/>
        </w:rPr>
        <w:t xml:space="preserve"> Health Centre.</w:t>
      </w:r>
    </w:p>
    <w:p w:rsidR="009D629C" w:rsidRPr="0034002A" w:rsidRDefault="00541D99" w:rsidP="0034002A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34002A">
        <w:rPr>
          <w:rFonts w:ascii="Arial" w:hAnsi="Arial" w:cs="Arial"/>
          <w:sz w:val="22"/>
        </w:rPr>
        <w:t>Facilitate workshops, groups and provide one off information sessions as required.</w:t>
      </w:r>
    </w:p>
    <w:p w:rsidR="009D629C" w:rsidRPr="00E06C10" w:rsidRDefault="009D629C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 xml:space="preserve">Attend relevant forums and meetings in consultation with the Manager. </w:t>
      </w:r>
    </w:p>
    <w:p w:rsidR="009D629C" w:rsidRPr="00E06C10" w:rsidRDefault="009D629C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 xml:space="preserve">Research, gather and </w:t>
      </w:r>
      <w:proofErr w:type="spellStart"/>
      <w:r w:rsidRPr="00E06C10">
        <w:rPr>
          <w:rFonts w:ascii="Arial" w:hAnsi="Arial" w:cs="Arial"/>
          <w:sz w:val="22"/>
        </w:rPr>
        <w:t>analyse</w:t>
      </w:r>
      <w:proofErr w:type="spellEnd"/>
      <w:r w:rsidRPr="00E06C10">
        <w:rPr>
          <w:rFonts w:ascii="Arial" w:hAnsi="Arial" w:cs="Arial"/>
          <w:sz w:val="22"/>
        </w:rPr>
        <w:t xml:space="preserve"> relevant data and information concerning </w:t>
      </w:r>
      <w:r w:rsidRPr="0034002A">
        <w:rPr>
          <w:rFonts w:ascii="Arial" w:hAnsi="Arial" w:cs="Arial"/>
          <w:sz w:val="22"/>
        </w:rPr>
        <w:t>women affected by DFV</w:t>
      </w:r>
      <w:r w:rsidRPr="00E06C10">
        <w:rPr>
          <w:rFonts w:ascii="Arial" w:hAnsi="Arial" w:cs="Arial"/>
          <w:sz w:val="22"/>
        </w:rPr>
        <w:t xml:space="preserve"> for planning, evaluation and reporting purposes. </w:t>
      </w:r>
    </w:p>
    <w:p w:rsidR="00541D99" w:rsidRPr="00E06C10" w:rsidRDefault="00541D99" w:rsidP="0034002A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Prepare written and statistical reports of service usage on a qu</w:t>
      </w:r>
      <w:r w:rsidR="007F691B" w:rsidRPr="00E06C10">
        <w:rPr>
          <w:rFonts w:ascii="Arial" w:hAnsi="Arial" w:cs="Arial"/>
          <w:sz w:val="22"/>
        </w:rPr>
        <w:t>arterly basis and in response to funding body requirements</w:t>
      </w:r>
      <w:r w:rsidRPr="00E06C10">
        <w:rPr>
          <w:rFonts w:ascii="Arial" w:hAnsi="Arial" w:cs="Arial"/>
          <w:sz w:val="22"/>
        </w:rPr>
        <w:t xml:space="preserve"> as required.</w:t>
      </w:r>
    </w:p>
    <w:p w:rsidR="00F44A0A" w:rsidRPr="00E06C10" w:rsidRDefault="00F44A0A" w:rsidP="00E06C1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lastRenderedPageBreak/>
        <w:t>Attend and actively participate in staff meetings, relevant professional development and in-service training, strategic planning and review sessions, supervision and performance management</w:t>
      </w:r>
      <w:r w:rsidR="007A7C25" w:rsidRPr="00E06C10">
        <w:rPr>
          <w:rFonts w:ascii="Arial" w:hAnsi="Arial" w:cs="Arial"/>
          <w:sz w:val="22"/>
        </w:rPr>
        <w:t>.</w:t>
      </w:r>
      <w:r w:rsidRPr="00E06C10">
        <w:rPr>
          <w:rFonts w:ascii="Arial" w:hAnsi="Arial" w:cs="Arial"/>
          <w:sz w:val="22"/>
        </w:rPr>
        <w:t xml:space="preserve"> </w:t>
      </w:r>
    </w:p>
    <w:p w:rsidR="008B7DCE" w:rsidRPr="00E06C10" w:rsidRDefault="002C29F0" w:rsidP="00E06C1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Comply with information and data collection, quality improvement, risk management, record keeping and administrative practices of the organisation.</w:t>
      </w:r>
    </w:p>
    <w:p w:rsidR="00541D99" w:rsidRPr="00E06C10" w:rsidRDefault="007F691B" w:rsidP="00E06C1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P</w:t>
      </w:r>
      <w:r w:rsidR="00541D99" w:rsidRPr="00E06C10">
        <w:rPr>
          <w:rFonts w:ascii="Arial" w:hAnsi="Arial" w:cs="Arial"/>
          <w:sz w:val="22"/>
        </w:rPr>
        <w:t>rovide effective, efficient and timely services in a manner consistent with organisational philosophy, the state’s legislative and policy framework, organisational policies &amp; procedures, service agreements and other legal requirements</w:t>
      </w:r>
    </w:p>
    <w:p w:rsidR="002C29F0" w:rsidRDefault="002C29F0" w:rsidP="00E06C1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Undertake other duties as requested by the Manager.</w:t>
      </w:r>
    </w:p>
    <w:p w:rsidR="00DD0020" w:rsidRDefault="00DD0020" w:rsidP="00DD0020">
      <w:pPr>
        <w:pStyle w:val="ListParagraph"/>
        <w:spacing w:after="0"/>
        <w:jc w:val="both"/>
        <w:rPr>
          <w:rFonts w:ascii="Arial" w:hAnsi="Arial" w:cs="Arial"/>
          <w:sz w:val="22"/>
        </w:rPr>
      </w:pPr>
    </w:p>
    <w:p w:rsidR="00DD0020" w:rsidRPr="00E06C10" w:rsidRDefault="00DD0020" w:rsidP="00DD0020">
      <w:pPr>
        <w:pStyle w:val="ListParagraph"/>
        <w:spacing w:after="0"/>
        <w:jc w:val="both"/>
        <w:rPr>
          <w:rFonts w:ascii="Arial" w:hAnsi="Arial" w:cs="Arial"/>
          <w:sz w:val="22"/>
        </w:rPr>
      </w:pPr>
    </w:p>
    <w:p w:rsidR="002C29F0" w:rsidRPr="00E06C10" w:rsidRDefault="002C29F0" w:rsidP="00E06C10">
      <w:pPr>
        <w:pStyle w:val="Secondarylabels"/>
        <w:ind w:left="720"/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Selection Criteria – Essential Requirements</w:t>
      </w:r>
    </w:p>
    <w:p w:rsidR="002C29F0" w:rsidRPr="00E06C10" w:rsidRDefault="002C29F0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Tertiary qualifications i</w:t>
      </w:r>
      <w:r w:rsidR="007F691B" w:rsidRPr="00E06C10">
        <w:rPr>
          <w:rFonts w:ascii="Arial" w:hAnsi="Arial" w:cs="Arial"/>
          <w:sz w:val="22"/>
        </w:rPr>
        <w:t>n an appropriate discipline such as</w:t>
      </w:r>
      <w:r w:rsidRPr="00E06C10">
        <w:rPr>
          <w:rFonts w:ascii="Arial" w:hAnsi="Arial" w:cs="Arial"/>
          <w:sz w:val="22"/>
        </w:rPr>
        <w:t xml:space="preserve"> </w:t>
      </w:r>
      <w:r w:rsidR="007F691B" w:rsidRPr="00E06C10">
        <w:rPr>
          <w:rFonts w:ascii="Arial" w:hAnsi="Arial" w:cs="Arial"/>
          <w:sz w:val="22"/>
        </w:rPr>
        <w:t>social welfare, community services, social sciences</w:t>
      </w:r>
    </w:p>
    <w:p w:rsidR="007F691B" w:rsidRPr="00E06C10" w:rsidRDefault="007F691B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Demonstrated experience in working with victims of DFV and/ or case management</w:t>
      </w:r>
    </w:p>
    <w:p w:rsidR="002C29F0" w:rsidRPr="00E06C10" w:rsidRDefault="002C29F0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 xml:space="preserve">Demonstrated ability to work and communicate effectively with </w:t>
      </w:r>
      <w:r w:rsidR="007F691B" w:rsidRPr="00E06C10">
        <w:rPr>
          <w:rFonts w:ascii="Arial" w:hAnsi="Arial" w:cs="Arial"/>
          <w:sz w:val="22"/>
        </w:rPr>
        <w:t>vulnerable women from diverse cultural and economic backgrounds and all ages</w:t>
      </w:r>
    </w:p>
    <w:p w:rsidR="007F691B" w:rsidRPr="00E06C10" w:rsidRDefault="007F691B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An understanding of the NSW Justice System and Safer Pathways which is a new model of service delivery for DFV services users developed as a part of the NSW Government DFV Framework for reform</w:t>
      </w:r>
    </w:p>
    <w:p w:rsidR="002C29F0" w:rsidRPr="00E06C10" w:rsidRDefault="002C29F0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Demonstrated ability to develop, deliver, evaluate and</w:t>
      </w:r>
      <w:r w:rsidR="0034002A">
        <w:rPr>
          <w:rFonts w:ascii="Arial" w:hAnsi="Arial" w:cs="Arial"/>
          <w:sz w:val="22"/>
        </w:rPr>
        <w:t xml:space="preserve"> report on projects</w:t>
      </w:r>
      <w:r w:rsidRPr="00E06C10">
        <w:rPr>
          <w:rFonts w:ascii="Arial" w:hAnsi="Arial" w:cs="Arial"/>
          <w:sz w:val="22"/>
        </w:rPr>
        <w:t>.</w:t>
      </w:r>
    </w:p>
    <w:p w:rsidR="002C29F0" w:rsidRPr="00E06C10" w:rsidRDefault="002C29F0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 xml:space="preserve">Strong interpersonal communication </w:t>
      </w:r>
      <w:r w:rsidR="00733B0B" w:rsidRPr="00E06C10">
        <w:rPr>
          <w:rFonts w:ascii="Arial" w:hAnsi="Arial" w:cs="Arial"/>
          <w:sz w:val="22"/>
        </w:rPr>
        <w:t>ability</w:t>
      </w:r>
      <w:r w:rsidRPr="00E06C10">
        <w:rPr>
          <w:rFonts w:ascii="Arial" w:hAnsi="Arial" w:cs="Arial"/>
          <w:sz w:val="22"/>
        </w:rPr>
        <w:t>, including well-developed written and oral communication</w:t>
      </w:r>
      <w:r w:rsidR="00E06C10" w:rsidRPr="00E06C10">
        <w:rPr>
          <w:rFonts w:ascii="Arial" w:hAnsi="Arial" w:cs="Arial"/>
          <w:sz w:val="22"/>
        </w:rPr>
        <w:t>/ facilitation</w:t>
      </w:r>
      <w:r w:rsidRPr="00E06C10">
        <w:rPr>
          <w:rFonts w:ascii="Arial" w:hAnsi="Arial" w:cs="Arial"/>
          <w:sz w:val="22"/>
        </w:rPr>
        <w:t xml:space="preserve"> </w:t>
      </w:r>
      <w:r w:rsidR="00733B0B" w:rsidRPr="00E06C10">
        <w:rPr>
          <w:rFonts w:ascii="Arial" w:hAnsi="Arial" w:cs="Arial"/>
          <w:sz w:val="22"/>
        </w:rPr>
        <w:t>skills</w:t>
      </w:r>
      <w:r w:rsidRPr="00E06C10">
        <w:rPr>
          <w:rFonts w:ascii="Arial" w:hAnsi="Arial" w:cs="Arial"/>
          <w:sz w:val="22"/>
        </w:rPr>
        <w:t>.</w:t>
      </w:r>
    </w:p>
    <w:p w:rsidR="002C29F0" w:rsidRPr="00E06C10" w:rsidRDefault="002C29F0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Demonstrated ability to work holistically and effectively as part of a multi-disciplinary team.</w:t>
      </w:r>
    </w:p>
    <w:p w:rsidR="002C29F0" w:rsidRPr="00E06C10" w:rsidRDefault="00733B0B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H</w:t>
      </w:r>
      <w:r w:rsidR="002C29F0" w:rsidRPr="00E06C10">
        <w:rPr>
          <w:rFonts w:ascii="Arial" w:hAnsi="Arial" w:cs="Arial"/>
          <w:sz w:val="22"/>
        </w:rPr>
        <w:t>igh level of energy, enthusiasm, reliability, resilience and flexibility.</w:t>
      </w:r>
    </w:p>
    <w:p w:rsidR="007F691B" w:rsidRPr="00E06C10" w:rsidRDefault="007F691B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 xml:space="preserve">Demonstrated administrative and </w:t>
      </w:r>
      <w:proofErr w:type="spellStart"/>
      <w:r w:rsidRPr="00E06C10">
        <w:rPr>
          <w:rFonts w:ascii="Arial" w:hAnsi="Arial" w:cs="Arial"/>
          <w:sz w:val="22"/>
        </w:rPr>
        <w:t>organisational</w:t>
      </w:r>
      <w:proofErr w:type="spellEnd"/>
      <w:r w:rsidRPr="00E06C10">
        <w:rPr>
          <w:rFonts w:ascii="Arial" w:hAnsi="Arial" w:cs="Arial"/>
          <w:sz w:val="22"/>
        </w:rPr>
        <w:t xml:space="preserve"> skills including computer literacy, data entry and record keeping </w:t>
      </w:r>
    </w:p>
    <w:p w:rsidR="002C29F0" w:rsidRPr="0034002A" w:rsidRDefault="007F691B" w:rsidP="0034002A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A demonstrated commitment to feminist principles and practice and knowledge of women’s health issues</w:t>
      </w:r>
    </w:p>
    <w:p w:rsidR="002C29F0" w:rsidRPr="00E06C10" w:rsidRDefault="00776E1D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 xml:space="preserve">Driver’s </w:t>
      </w:r>
      <w:proofErr w:type="spellStart"/>
      <w:r w:rsidRPr="00E06C10">
        <w:rPr>
          <w:rFonts w:ascii="Arial" w:hAnsi="Arial" w:cs="Arial"/>
          <w:sz w:val="22"/>
        </w:rPr>
        <w:t>licenc</w:t>
      </w:r>
      <w:r w:rsidR="002C29F0" w:rsidRPr="00E06C10">
        <w:rPr>
          <w:rFonts w:ascii="Arial" w:hAnsi="Arial" w:cs="Arial"/>
          <w:sz w:val="22"/>
        </w:rPr>
        <w:t>e</w:t>
      </w:r>
      <w:proofErr w:type="spellEnd"/>
      <w:r w:rsidR="002C29F0" w:rsidRPr="00E06C10">
        <w:rPr>
          <w:rFonts w:ascii="Arial" w:hAnsi="Arial" w:cs="Arial"/>
          <w:sz w:val="22"/>
        </w:rPr>
        <w:t xml:space="preserve"> and own vehicle.  </w:t>
      </w:r>
    </w:p>
    <w:p w:rsidR="007F691B" w:rsidRPr="00E06C10" w:rsidRDefault="007F691B" w:rsidP="00E06C10">
      <w:pPr>
        <w:pStyle w:val="BulletedList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2C29F0" w:rsidRPr="00E06C10" w:rsidRDefault="00E06C10" w:rsidP="00E06C10">
      <w:pPr>
        <w:pStyle w:val="Secondarylabels"/>
        <w:ind w:left="720"/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Desirable Criteria</w:t>
      </w:r>
    </w:p>
    <w:p w:rsidR="00E06C10" w:rsidRPr="00E06C10" w:rsidRDefault="00E06C10" w:rsidP="00E06C10">
      <w:pPr>
        <w:pStyle w:val="BulletedList"/>
        <w:numPr>
          <w:ilvl w:val="0"/>
          <w:numId w:val="2"/>
        </w:numPr>
        <w:rPr>
          <w:rFonts w:ascii="Arial" w:hAnsi="Arial" w:cs="Arial"/>
          <w:sz w:val="22"/>
        </w:rPr>
      </w:pPr>
      <w:r w:rsidRPr="00E06C10">
        <w:rPr>
          <w:rFonts w:ascii="Arial" w:hAnsi="Arial" w:cs="Arial"/>
          <w:sz w:val="22"/>
        </w:rPr>
        <w:t>Established knowledge and underst</w:t>
      </w:r>
      <w:r w:rsidR="0034002A">
        <w:rPr>
          <w:rFonts w:ascii="Arial" w:hAnsi="Arial" w:cs="Arial"/>
          <w:sz w:val="22"/>
        </w:rPr>
        <w:t>anding of the South W</w:t>
      </w:r>
      <w:bookmarkStart w:id="0" w:name="_GoBack"/>
      <w:bookmarkEnd w:id="0"/>
      <w:r w:rsidRPr="00E06C10">
        <w:rPr>
          <w:rFonts w:ascii="Arial" w:hAnsi="Arial" w:cs="Arial"/>
          <w:sz w:val="22"/>
        </w:rPr>
        <w:t>estern Sydney service system and its networks and communities</w:t>
      </w:r>
    </w:p>
    <w:p w:rsidR="00E06C10" w:rsidRPr="00E06C10" w:rsidRDefault="00E06C10" w:rsidP="00E06C10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262626"/>
          <w:sz w:val="22"/>
          <w:lang w:val="en-US"/>
        </w:rPr>
      </w:pPr>
      <w:r w:rsidRPr="00E06C10">
        <w:rPr>
          <w:rFonts w:ascii="Arial" w:eastAsia="Calibri" w:hAnsi="Arial" w:cs="Arial"/>
          <w:color w:val="262626"/>
          <w:sz w:val="22"/>
          <w:lang w:val="en-US"/>
        </w:rPr>
        <w:t>Ability to speak more than one language</w:t>
      </w:r>
    </w:p>
    <w:p w:rsidR="00E06C10" w:rsidRPr="00E06C10" w:rsidRDefault="00E06C10" w:rsidP="00E06C10">
      <w:pPr>
        <w:pStyle w:val="BulletedList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E06C10" w:rsidRPr="00E06C10" w:rsidRDefault="00E06C10" w:rsidP="00E06C10">
      <w:pPr>
        <w:pStyle w:val="BulletedList"/>
        <w:numPr>
          <w:ilvl w:val="0"/>
          <w:numId w:val="0"/>
        </w:numPr>
        <w:rPr>
          <w:rFonts w:ascii="Arial" w:hAnsi="Arial" w:cs="Arial"/>
          <w:sz w:val="22"/>
        </w:rPr>
      </w:pPr>
    </w:p>
    <w:tbl>
      <w:tblPr>
        <w:tblpPr w:leftFromText="180" w:rightFromText="180" w:vertAnchor="page" w:horzAnchor="margin" w:tblpY="144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711"/>
        <w:gridCol w:w="3136"/>
        <w:gridCol w:w="1526"/>
        <w:gridCol w:w="2643"/>
      </w:tblGrid>
      <w:tr w:rsidR="00733B0B" w:rsidRPr="00E06C10" w:rsidTr="00733B0B">
        <w:tc>
          <w:tcPr>
            <w:tcW w:w="949" w:type="pct"/>
            <w:shd w:val="clear" w:color="auto" w:fill="F2F2F2"/>
          </w:tcPr>
          <w:p w:rsidR="00733B0B" w:rsidRPr="00E06C10" w:rsidRDefault="00733B0B" w:rsidP="00733B0B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Reviewed By:</w:t>
            </w:r>
          </w:p>
        </w:tc>
        <w:tc>
          <w:tcPr>
            <w:tcW w:w="1739" w:type="pct"/>
          </w:tcPr>
          <w:p w:rsidR="00733B0B" w:rsidRPr="00E06C10" w:rsidRDefault="00733B0B" w:rsidP="00733B0B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Manager</w:t>
            </w:r>
          </w:p>
        </w:tc>
        <w:tc>
          <w:tcPr>
            <w:tcW w:w="846" w:type="pct"/>
            <w:tcBorders>
              <w:bottom w:val="single" w:sz="4" w:space="0" w:color="000000"/>
            </w:tcBorders>
            <w:shd w:val="clear" w:color="auto" w:fill="F2F2F2"/>
          </w:tcPr>
          <w:p w:rsidR="00733B0B" w:rsidRPr="00E06C10" w:rsidRDefault="00733B0B" w:rsidP="00733B0B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466" w:type="pct"/>
          </w:tcPr>
          <w:p w:rsidR="00733B0B" w:rsidRPr="00E06C10" w:rsidRDefault="00E62684" w:rsidP="003457A4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15/01/2021</w:t>
            </w:r>
          </w:p>
        </w:tc>
      </w:tr>
      <w:tr w:rsidR="00733B0B" w:rsidRPr="00E06C10" w:rsidTr="00733B0B">
        <w:tc>
          <w:tcPr>
            <w:tcW w:w="949" w:type="pct"/>
            <w:shd w:val="clear" w:color="auto" w:fill="F2F2F2"/>
          </w:tcPr>
          <w:p w:rsidR="00733B0B" w:rsidRPr="00E06C10" w:rsidRDefault="00733B0B" w:rsidP="00733B0B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Approved By:</w:t>
            </w:r>
          </w:p>
        </w:tc>
        <w:tc>
          <w:tcPr>
            <w:tcW w:w="1739" w:type="pct"/>
          </w:tcPr>
          <w:p w:rsidR="00733B0B" w:rsidRPr="00E06C10" w:rsidRDefault="00733B0B" w:rsidP="00733B0B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Management Committee</w:t>
            </w:r>
          </w:p>
        </w:tc>
        <w:tc>
          <w:tcPr>
            <w:tcW w:w="846" w:type="pct"/>
            <w:shd w:val="clear" w:color="auto" w:fill="F2F2F2"/>
          </w:tcPr>
          <w:p w:rsidR="00733B0B" w:rsidRPr="00E06C10" w:rsidRDefault="00733B0B" w:rsidP="00733B0B">
            <w:pPr>
              <w:rPr>
                <w:rFonts w:ascii="Arial" w:hAnsi="Arial" w:cs="Arial"/>
                <w:sz w:val="22"/>
              </w:rPr>
            </w:pPr>
            <w:r w:rsidRPr="00E06C10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466" w:type="pct"/>
          </w:tcPr>
          <w:p w:rsidR="00733B0B" w:rsidRPr="00E06C10" w:rsidRDefault="00733B0B" w:rsidP="00733B0B">
            <w:pPr>
              <w:rPr>
                <w:rFonts w:ascii="Arial" w:hAnsi="Arial" w:cs="Arial"/>
                <w:sz w:val="22"/>
              </w:rPr>
            </w:pPr>
          </w:p>
        </w:tc>
      </w:tr>
    </w:tbl>
    <w:p w:rsidR="00F80722" w:rsidRPr="00E06C10" w:rsidRDefault="00F80722" w:rsidP="00F80722">
      <w:pPr>
        <w:rPr>
          <w:rFonts w:ascii="Arial" w:hAnsi="Arial" w:cs="Arial"/>
          <w:i/>
          <w:sz w:val="22"/>
        </w:rPr>
      </w:pPr>
      <w:r w:rsidRPr="00E06C10">
        <w:rPr>
          <w:rStyle w:val="Emphasis"/>
          <w:rFonts w:ascii="Arial" w:hAnsi="Arial" w:cs="Arial"/>
          <w:b w:val="0"/>
          <w:i/>
          <w:sz w:val="22"/>
        </w:rPr>
        <w:t>Liverpool Women’s Health Centre considers being a woman is a genuine occupational qualification for this position under s 31 of the Anti-Discrimination Act 1977 (NSW).</w:t>
      </w:r>
    </w:p>
    <w:p w:rsidR="0060591A" w:rsidRPr="00E06C10" w:rsidRDefault="0060591A" w:rsidP="00733B0B">
      <w:pPr>
        <w:rPr>
          <w:rFonts w:ascii="Arial" w:hAnsi="Arial" w:cs="Arial"/>
          <w:i/>
          <w:sz w:val="22"/>
          <w:lang w:val="en"/>
        </w:rPr>
      </w:pPr>
    </w:p>
    <w:sectPr w:rsidR="0060591A" w:rsidRPr="00E06C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0A" w:rsidRDefault="00F44A0A" w:rsidP="00F44A0A">
      <w:pPr>
        <w:spacing w:before="0" w:after="0"/>
      </w:pPr>
      <w:r>
        <w:separator/>
      </w:r>
    </w:p>
  </w:endnote>
  <w:endnote w:type="continuationSeparator" w:id="0">
    <w:p w:rsidR="00F44A0A" w:rsidRDefault="00F44A0A" w:rsidP="00F44A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752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B0B" w:rsidRDefault="00733B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B0B" w:rsidRDefault="00733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0A" w:rsidRDefault="00F44A0A" w:rsidP="00F44A0A">
      <w:pPr>
        <w:spacing w:before="0" w:after="0"/>
      </w:pPr>
      <w:r>
        <w:separator/>
      </w:r>
    </w:p>
  </w:footnote>
  <w:footnote w:type="continuationSeparator" w:id="0">
    <w:p w:rsidR="00F44A0A" w:rsidRDefault="00F44A0A" w:rsidP="00F44A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0B" w:rsidRDefault="00733B0B">
    <w:pPr>
      <w:pStyle w:val="Header"/>
    </w:pPr>
    <w:r>
      <w:t>POSITION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4E6D"/>
    <w:multiLevelType w:val="hybridMultilevel"/>
    <w:tmpl w:val="8F7CF32A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E46"/>
    <w:multiLevelType w:val="hybridMultilevel"/>
    <w:tmpl w:val="F072CE7E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F0"/>
    <w:rsid w:val="000124FB"/>
    <w:rsid w:val="00114812"/>
    <w:rsid w:val="001946AD"/>
    <w:rsid w:val="0023295F"/>
    <w:rsid w:val="002C29F0"/>
    <w:rsid w:val="0034002A"/>
    <w:rsid w:val="003457A4"/>
    <w:rsid w:val="004A70AF"/>
    <w:rsid w:val="00541D99"/>
    <w:rsid w:val="0060591A"/>
    <w:rsid w:val="006A7AB8"/>
    <w:rsid w:val="006E49A8"/>
    <w:rsid w:val="00733B0B"/>
    <w:rsid w:val="00776E1D"/>
    <w:rsid w:val="007A7C25"/>
    <w:rsid w:val="007F691B"/>
    <w:rsid w:val="00825B68"/>
    <w:rsid w:val="00855965"/>
    <w:rsid w:val="008A60C3"/>
    <w:rsid w:val="008B7DCE"/>
    <w:rsid w:val="00914C47"/>
    <w:rsid w:val="00973E0F"/>
    <w:rsid w:val="009D629C"/>
    <w:rsid w:val="00A47585"/>
    <w:rsid w:val="00AC57C7"/>
    <w:rsid w:val="00B25F62"/>
    <w:rsid w:val="00B94468"/>
    <w:rsid w:val="00D82061"/>
    <w:rsid w:val="00DD0020"/>
    <w:rsid w:val="00E06C10"/>
    <w:rsid w:val="00E07887"/>
    <w:rsid w:val="00E32E8C"/>
    <w:rsid w:val="00E62684"/>
    <w:rsid w:val="00E65933"/>
    <w:rsid w:val="00F44A0A"/>
    <w:rsid w:val="00F564F4"/>
    <w:rsid w:val="00F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20169-B96E-46B2-BEA9-F216D7EB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F0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2C29F0"/>
    <w:pPr>
      <w:numPr>
        <w:numId w:val="1"/>
      </w:numPr>
    </w:pPr>
    <w:rPr>
      <w:color w:val="262626"/>
    </w:rPr>
  </w:style>
  <w:style w:type="paragraph" w:customStyle="1" w:styleId="Secondarylabels">
    <w:name w:val="Secondary labels"/>
    <w:basedOn w:val="Normal"/>
    <w:qFormat/>
    <w:rsid w:val="002C29F0"/>
    <w:pPr>
      <w:spacing w:before="120" w:after="120"/>
    </w:pPr>
    <w:rPr>
      <w:b/>
      <w:color w:val="262626"/>
    </w:rPr>
  </w:style>
  <w:style w:type="paragraph" w:styleId="ListParagraph">
    <w:name w:val="List Paragraph"/>
    <w:basedOn w:val="Normal"/>
    <w:uiPriority w:val="34"/>
    <w:qFormat/>
    <w:rsid w:val="002C29F0"/>
    <w:pPr>
      <w:spacing w:before="0" w:after="200" w:line="276" w:lineRule="auto"/>
      <w:ind w:left="720"/>
      <w:contextualSpacing/>
    </w:pPr>
    <w:rPr>
      <w:rFonts w:eastAsia="Times New Roman"/>
      <w:sz w:val="24"/>
      <w:lang w:val="en-AU"/>
    </w:rPr>
  </w:style>
  <w:style w:type="paragraph" w:customStyle="1" w:styleId="Label">
    <w:name w:val="Label"/>
    <w:basedOn w:val="Normal"/>
    <w:qFormat/>
    <w:rsid w:val="002C29F0"/>
    <w:pPr>
      <w:spacing w:before="40"/>
    </w:pPr>
    <w:rPr>
      <w:b/>
      <w:color w:val="262626"/>
    </w:rPr>
  </w:style>
  <w:style w:type="character" w:customStyle="1" w:styleId="bodysmall">
    <w:name w:val="body_small"/>
    <w:basedOn w:val="DefaultParagraphFont"/>
    <w:rsid w:val="002C29F0"/>
  </w:style>
  <w:style w:type="paragraph" w:styleId="Header">
    <w:name w:val="header"/>
    <w:basedOn w:val="Normal"/>
    <w:link w:val="HeaderChar"/>
    <w:uiPriority w:val="99"/>
    <w:unhideWhenUsed/>
    <w:rsid w:val="00F44A0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4A0A"/>
    <w:rPr>
      <w:rFonts w:ascii="Calibri" w:eastAsia="Calibri" w:hAnsi="Calibri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A0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4A0A"/>
    <w:rPr>
      <w:rFonts w:ascii="Calibri" w:eastAsia="Calibri" w:hAnsi="Calibri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0A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124F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0591A"/>
    <w:rPr>
      <w:b/>
      <w:bCs/>
      <w:i w:val="0"/>
      <w:iCs w:val="0"/>
    </w:rPr>
  </w:style>
  <w:style w:type="character" w:customStyle="1" w:styleId="st1">
    <w:name w:val="st1"/>
    <w:basedOn w:val="DefaultParagraphFont"/>
    <w:rsid w:val="0060591A"/>
  </w:style>
  <w:style w:type="paragraph" w:styleId="NormalWeb">
    <w:name w:val="Normal (Web)"/>
    <w:basedOn w:val="Normal"/>
    <w:uiPriority w:val="99"/>
    <w:rsid w:val="00F80722"/>
    <w:pPr>
      <w:spacing w:before="100" w:beforeAutospacing="1" w:after="100" w:afterAutospacing="1"/>
    </w:pPr>
    <w:rPr>
      <w:rFonts w:ascii="Times New Roman" w:eastAsia="Times New Roman" w:hAnsi="Times New Roman"/>
      <w:color w:val="27318B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SLHN &amp; SWSLHN</dc:creator>
  <cp:lastModifiedBy>Kate Meyer (South Western Sydney LHD)</cp:lastModifiedBy>
  <cp:revision>4</cp:revision>
  <cp:lastPrinted>2017-05-24T03:43:00Z</cp:lastPrinted>
  <dcterms:created xsi:type="dcterms:W3CDTF">2021-01-15T03:03:00Z</dcterms:created>
  <dcterms:modified xsi:type="dcterms:W3CDTF">2021-01-22T03:28:00Z</dcterms:modified>
</cp:coreProperties>
</file>