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542D9" w14:textId="77777777" w:rsidR="007819F9" w:rsidRPr="00751313" w:rsidRDefault="00751313">
      <w:pPr>
        <w:rPr>
          <w:b/>
        </w:rPr>
      </w:pPr>
      <w:r w:rsidRPr="00751313">
        <w:rPr>
          <w:b/>
        </w:rPr>
        <w:t>Position description</w:t>
      </w:r>
    </w:p>
    <w:p w14:paraId="1D924CAF" w14:textId="0C251B20" w:rsidR="00751313" w:rsidRDefault="00751313">
      <w:r>
        <w:t>Position title:</w:t>
      </w:r>
      <w:r>
        <w:tab/>
      </w:r>
      <w:r>
        <w:tab/>
      </w:r>
      <w:r>
        <w:tab/>
      </w:r>
      <w:r w:rsidR="004F5926">
        <w:t xml:space="preserve">Clinical Lead </w:t>
      </w:r>
    </w:p>
    <w:p w14:paraId="6DE28830" w14:textId="2A21F0D5" w:rsidR="004F5926" w:rsidRDefault="00751313">
      <w:r>
        <w:t>Reports to:</w:t>
      </w:r>
      <w:r>
        <w:tab/>
      </w:r>
      <w:r>
        <w:tab/>
      </w:r>
      <w:r>
        <w:tab/>
      </w:r>
      <w:r w:rsidR="005C06CC">
        <w:t xml:space="preserve">National Support Coordination Manager </w:t>
      </w:r>
    </w:p>
    <w:p w14:paraId="0369A402" w14:textId="29639F49" w:rsidR="00751313" w:rsidRDefault="00751313">
      <w:r>
        <w:t xml:space="preserve">Industrial Instrument: </w:t>
      </w:r>
      <w:r>
        <w:tab/>
      </w:r>
      <w:r>
        <w:tab/>
        <w:t>Social, Community, Home Care and Disability Services Award 2010</w:t>
      </w:r>
    </w:p>
    <w:p w14:paraId="7A9C9810" w14:textId="590CB4B2" w:rsidR="00751313" w:rsidRDefault="00751313">
      <w:r>
        <w:t xml:space="preserve">Pay Level: </w:t>
      </w:r>
      <w:r>
        <w:tab/>
      </w:r>
      <w:r>
        <w:tab/>
      </w:r>
      <w:r>
        <w:tab/>
        <w:t xml:space="preserve">Pathways to Care Level </w:t>
      </w:r>
      <w:r w:rsidR="005D3860" w:rsidRPr="005A4B2A">
        <w:rPr>
          <w:highlight w:val="green"/>
        </w:rPr>
        <w:t>___</w:t>
      </w:r>
    </w:p>
    <w:p w14:paraId="29B70616" w14:textId="46D92E63" w:rsidR="00751313" w:rsidRDefault="00751313">
      <w:r>
        <w:t xml:space="preserve">Approved by: </w:t>
      </w:r>
      <w:r>
        <w:tab/>
      </w:r>
      <w:r>
        <w:tab/>
      </w:r>
      <w:r>
        <w:tab/>
        <w:t>Human Resources</w:t>
      </w:r>
      <w:r>
        <w:tab/>
      </w:r>
      <w:r>
        <w:tab/>
        <w:t>Approved date:</w:t>
      </w:r>
      <w:r>
        <w:tab/>
      </w:r>
      <w:r w:rsidR="00027C07">
        <w:t xml:space="preserve">     </w:t>
      </w:r>
      <w:r w:rsidR="004F5926">
        <w:t>December</w:t>
      </w:r>
      <w:r w:rsidR="007D30AA">
        <w:t xml:space="preserve"> 2020</w:t>
      </w:r>
    </w:p>
    <w:p w14:paraId="26E6A62A" w14:textId="79815E90" w:rsidR="00751313" w:rsidRDefault="00751313"/>
    <w:p w14:paraId="7315BB30" w14:textId="381B8619" w:rsidR="00751313" w:rsidRDefault="00751313">
      <w:pPr>
        <w:rPr>
          <w:b/>
        </w:rPr>
      </w:pPr>
      <w:r>
        <w:rPr>
          <w:b/>
        </w:rPr>
        <w:t>Primary position objective:</w:t>
      </w:r>
    </w:p>
    <w:p w14:paraId="55E7DEA3" w14:textId="0CEC23CC" w:rsidR="00751313" w:rsidRDefault="00751313" w:rsidP="001E32C1">
      <w:pPr>
        <w:jc w:val="both"/>
      </w:pPr>
      <w:r>
        <w:t xml:space="preserve">To provide high quality </w:t>
      </w:r>
      <w:r w:rsidR="004F5926">
        <w:t xml:space="preserve">Specialist </w:t>
      </w:r>
      <w:r>
        <w:t xml:space="preserve">Support Coordination for NDIS participants and </w:t>
      </w:r>
      <w:r w:rsidR="004F5926">
        <w:t>Clinical Guidance for members of the Pathways to Care regions.</w:t>
      </w:r>
      <w:r w:rsidR="005D3AD8" w:rsidRPr="005D3AD8">
        <w:t xml:space="preserve"> The Clinical Lead is primarily responsible for providing clinical leadership and direction to the Support Coordination team, ensuring that day-to-day clinical work is carried out to effectively to meet the needs of Pathways to Care Participants.</w:t>
      </w:r>
      <w:r w:rsidR="004F5926">
        <w:t xml:space="preserve"> </w:t>
      </w:r>
      <w:r w:rsidR="005D3AD8">
        <w:t xml:space="preserve">In their direct client work, the Clinical Lead will </w:t>
      </w:r>
      <w:r>
        <w:t xml:space="preserve">focus on strengthening a participant’s ability to navigate </w:t>
      </w:r>
      <w:r w:rsidR="004F5926">
        <w:t>intersecting service systems</w:t>
      </w:r>
      <w:r w:rsidR="005D3AD8">
        <w:t>, including Health, Justice, Mental Health, Housing, and other Social Services</w:t>
      </w:r>
      <w:r w:rsidR="004F5926">
        <w:t xml:space="preserve">. </w:t>
      </w:r>
      <w:r w:rsidR="005D3AD8">
        <w:t>The incumbent will contribute to the development of evidence-based and innovative clinical services and that will promote the delivery of Specialist Support Coordination of the highest quality.</w:t>
      </w:r>
    </w:p>
    <w:p w14:paraId="36C572AE" w14:textId="4FCD5E3E" w:rsidR="00751313" w:rsidRDefault="00751313"/>
    <w:p w14:paraId="784A52FC" w14:textId="629B0292" w:rsidR="00751313" w:rsidRDefault="00751313">
      <w:pPr>
        <w:rPr>
          <w:b/>
        </w:rPr>
      </w:pPr>
      <w:r>
        <w:rPr>
          <w:b/>
        </w:rPr>
        <w:t>Organisational overview:</w:t>
      </w:r>
    </w:p>
    <w:p w14:paraId="6FBE7E51" w14:textId="4E8EE728" w:rsidR="00751313" w:rsidRDefault="00751313" w:rsidP="001E32C1">
      <w:pPr>
        <w:jc w:val="both"/>
      </w:pPr>
      <w:r>
        <w:t>Pathways to Care is an organisation offering high quality support services for people with disability. Pathways to Care specialise in Support Coordination and Plan Management and in being Independent. We strive to ensure that the participant fully engages with the philosophy of Choice and Control within the NDIS framework.</w:t>
      </w:r>
    </w:p>
    <w:p w14:paraId="0D033E32" w14:textId="7A269D94" w:rsidR="00751313" w:rsidRDefault="00751313">
      <w:pPr>
        <w:rPr>
          <w:b/>
        </w:rPr>
      </w:pPr>
      <w:r>
        <w:rPr>
          <w:b/>
        </w:rPr>
        <w:t>Mission</w:t>
      </w:r>
      <w:r w:rsidR="000940E4">
        <w:rPr>
          <w:b/>
        </w:rPr>
        <w:t xml:space="preserve"> Statement:</w:t>
      </w:r>
    </w:p>
    <w:p w14:paraId="0910D00A" w14:textId="65943657" w:rsidR="00FC7A56" w:rsidRPr="00FC7A56" w:rsidRDefault="00FC7A56" w:rsidP="001E32C1">
      <w:pPr>
        <w:jc w:val="both"/>
      </w:pPr>
      <w:r w:rsidRPr="00FC7A56">
        <w:rPr>
          <w:b/>
          <w:bCs/>
          <w:i/>
          <w:iCs/>
          <w:lang w:val="en-GB"/>
        </w:rPr>
        <w:t xml:space="preserve">Our Mission </w:t>
      </w:r>
      <w:r w:rsidRPr="00FC7A56">
        <w:rPr>
          <w:lang w:val="en-GB"/>
        </w:rPr>
        <w:t xml:space="preserve">is to provide high quality support coordination and plan management services, to participants approved under the NDIS. We do this so that we can assist participants to live their best lives, whilst ensuring that our business prospers such that we can ensure our viability and provide returns for all stakeholders. </w:t>
      </w:r>
    </w:p>
    <w:p w14:paraId="0E3786D6" w14:textId="77777777" w:rsidR="00FC7A56" w:rsidRDefault="00FC7A56">
      <w:pPr>
        <w:rPr>
          <w:b/>
        </w:rPr>
      </w:pPr>
      <w:r>
        <w:rPr>
          <w:b/>
        </w:rPr>
        <w:t>Vision Statement:</w:t>
      </w:r>
    </w:p>
    <w:p w14:paraId="1B323B9A" w14:textId="77777777" w:rsidR="00FC7A56" w:rsidRPr="00FC7A56" w:rsidRDefault="00FC7A56" w:rsidP="00FC7A56">
      <w:pPr>
        <w:rPr>
          <w:b/>
        </w:rPr>
      </w:pPr>
      <w:r w:rsidRPr="00FC7A56">
        <w:rPr>
          <w:bCs/>
          <w:i/>
          <w:iCs/>
          <w:lang w:val="en-GB"/>
        </w:rPr>
        <w:t xml:space="preserve">Our </w:t>
      </w:r>
      <w:r w:rsidRPr="00FC7A56">
        <w:rPr>
          <w:bCs/>
          <w:i/>
          <w:iCs/>
        </w:rPr>
        <w:t>Vision</w:t>
      </w:r>
      <w:r w:rsidRPr="00FC7A56">
        <w:rPr>
          <w:bCs/>
        </w:rPr>
        <w:t xml:space="preserve"> is a supportive and caring community where people with disability are genuinely empowered to achieve their life goals</w:t>
      </w:r>
      <w:r w:rsidRPr="00FC7A56">
        <w:rPr>
          <w:b/>
          <w:bCs/>
        </w:rPr>
        <w:t>.</w:t>
      </w:r>
    </w:p>
    <w:p w14:paraId="79B9C7E6" w14:textId="033C8A4D" w:rsidR="00751313" w:rsidRDefault="00751313">
      <w:pPr>
        <w:rPr>
          <w:b/>
        </w:rPr>
      </w:pPr>
      <w:r>
        <w:rPr>
          <w:b/>
        </w:rPr>
        <w:t>Values</w:t>
      </w:r>
    </w:p>
    <w:p w14:paraId="06C44227" w14:textId="55E0CD8C" w:rsidR="000940E4" w:rsidRDefault="000940E4">
      <w:r>
        <w:t>All of Pathways to Care’s operations and activities are built upon the values of:</w:t>
      </w:r>
    </w:p>
    <w:p w14:paraId="2C3A45C2" w14:textId="3DD088D9" w:rsidR="000940E4" w:rsidRPr="000940E4" w:rsidRDefault="000940E4">
      <w:r>
        <w:t>Inclusiveness | Respect | Responsiveness | Continuous Improvement</w:t>
      </w:r>
    </w:p>
    <w:p w14:paraId="72A598CE" w14:textId="041EB943" w:rsidR="00751313" w:rsidRDefault="00751313">
      <w:pPr>
        <w:rPr>
          <w:b/>
        </w:rPr>
      </w:pPr>
      <w:r>
        <w:rPr>
          <w:b/>
        </w:rPr>
        <w:t>Organisational Accountabilities (applicable to all employees)</w:t>
      </w:r>
    </w:p>
    <w:p w14:paraId="608D91D2" w14:textId="6ABC83A5" w:rsidR="00751313" w:rsidRDefault="00751313">
      <w:pPr>
        <w:rPr>
          <w:b/>
        </w:rPr>
      </w:pPr>
      <w:r>
        <w:rPr>
          <w:b/>
        </w:rPr>
        <w:lastRenderedPageBreak/>
        <w:t xml:space="preserve">Positive Working </w:t>
      </w:r>
      <w:r w:rsidR="003E20A4">
        <w:rPr>
          <w:b/>
        </w:rPr>
        <w:t>Relationships</w:t>
      </w:r>
    </w:p>
    <w:p w14:paraId="2DB06CEB" w14:textId="43E767DD" w:rsidR="00751313" w:rsidRDefault="00751313" w:rsidP="00751313">
      <w:pPr>
        <w:pStyle w:val="ListParagraph"/>
        <w:numPr>
          <w:ilvl w:val="0"/>
          <w:numId w:val="1"/>
        </w:numPr>
      </w:pPr>
      <w:r>
        <w:t>Demonstrate ability to work as part of, and contribute to,</w:t>
      </w:r>
      <w:r w:rsidR="00B20CB7">
        <w:t xml:space="preserve"> and be supportive and respectful within</w:t>
      </w:r>
      <w:r>
        <w:t xml:space="preserve"> a </w:t>
      </w:r>
      <w:r w:rsidR="003E20A4">
        <w:t>person-centered</w:t>
      </w:r>
      <w:r>
        <w:t xml:space="preserve"> team</w:t>
      </w:r>
    </w:p>
    <w:p w14:paraId="76B7034A" w14:textId="0DA5D4DD" w:rsidR="00751313" w:rsidRDefault="00751313" w:rsidP="00751313">
      <w:pPr>
        <w:pStyle w:val="ListParagraph"/>
        <w:numPr>
          <w:ilvl w:val="0"/>
          <w:numId w:val="1"/>
        </w:numPr>
      </w:pPr>
      <w:r>
        <w:t>Facilitate good working relationships with the community, participants, their families and support providers, and all departments in Pathways to Care through clear communication and a willingness to work towards positive outcomes</w:t>
      </w:r>
    </w:p>
    <w:p w14:paraId="2DE3D16B" w14:textId="25B25D1B" w:rsidR="00751313" w:rsidRDefault="00751313" w:rsidP="00751313">
      <w:pPr>
        <w:pStyle w:val="ListParagraph"/>
        <w:numPr>
          <w:ilvl w:val="0"/>
          <w:numId w:val="1"/>
        </w:numPr>
      </w:pPr>
      <w:r>
        <w:t>Demonstrated ability to initiate and maintain contacts with a broad range of people and community organisation to facilitate participants’ access to services, appropriate communication with fellow workers, families and other people involved with the service and in the life of the participant</w:t>
      </w:r>
    </w:p>
    <w:p w14:paraId="1B6E50D4" w14:textId="610F22FD" w:rsidR="00C82FFB" w:rsidRDefault="00C82FFB" w:rsidP="00C82FFB">
      <w:pPr>
        <w:pStyle w:val="ListParagraph"/>
        <w:numPr>
          <w:ilvl w:val="0"/>
          <w:numId w:val="1"/>
        </w:numPr>
        <w:spacing w:line="256" w:lineRule="auto"/>
      </w:pPr>
      <w:r w:rsidRPr="006021F3">
        <w:t xml:space="preserve">Setting a high level of personal and professional boundaries with participants, </w:t>
      </w:r>
      <w:proofErr w:type="gramStart"/>
      <w:r w:rsidRPr="006021F3">
        <w:t>families</w:t>
      </w:r>
      <w:proofErr w:type="gramEnd"/>
      <w:r w:rsidRPr="006021F3">
        <w:t xml:space="preserve"> and providers to ensure that our support is delivered within the scope of the role, and there is a clear focus on “capacity building”</w:t>
      </w:r>
      <w:r w:rsidR="001253B2">
        <w:t>.</w:t>
      </w:r>
    </w:p>
    <w:p w14:paraId="46AAA44F" w14:textId="77777777" w:rsidR="00C82FFB" w:rsidRDefault="00C82FFB" w:rsidP="00C82FFB">
      <w:pPr>
        <w:pStyle w:val="ListParagraph"/>
      </w:pPr>
    </w:p>
    <w:p w14:paraId="0F232CBD" w14:textId="30D77DAA" w:rsidR="00751313" w:rsidRDefault="003E20A4" w:rsidP="003E20A4">
      <w:pPr>
        <w:rPr>
          <w:b/>
        </w:rPr>
      </w:pPr>
      <w:r>
        <w:rPr>
          <w:b/>
        </w:rPr>
        <w:t>Participant Safeguards and Wellbeing</w:t>
      </w:r>
    </w:p>
    <w:p w14:paraId="55FCAA03" w14:textId="5932DE0C" w:rsidR="003E20A4" w:rsidRDefault="003E20A4" w:rsidP="003E20A4">
      <w:r>
        <w:t>Safeguard and promote the rights and wellbeing of every individual so they are recognised, respected, protected and fulfilled.</w:t>
      </w:r>
    </w:p>
    <w:p w14:paraId="0F7D5D23" w14:textId="29B6FB49" w:rsidR="003E20A4" w:rsidRDefault="003E20A4" w:rsidP="003E20A4">
      <w:r>
        <w:t>In providing quality services, Pathways to Care staff must comply with:</w:t>
      </w:r>
    </w:p>
    <w:p w14:paraId="16CA9537" w14:textId="77777777" w:rsidR="00027C07" w:rsidRDefault="00027C07" w:rsidP="00027C07">
      <w:pPr>
        <w:pStyle w:val="ListParagraph"/>
        <w:numPr>
          <w:ilvl w:val="0"/>
          <w:numId w:val="2"/>
        </w:numPr>
      </w:pPr>
      <w:r>
        <w:t>The NDIS Code of Conduct</w:t>
      </w:r>
    </w:p>
    <w:p w14:paraId="74CB23FD" w14:textId="77777777" w:rsidR="00027C07" w:rsidRDefault="00027C07" w:rsidP="00027C07">
      <w:pPr>
        <w:pStyle w:val="ListParagraph"/>
        <w:numPr>
          <w:ilvl w:val="0"/>
          <w:numId w:val="2"/>
        </w:numPr>
      </w:pPr>
      <w:r>
        <w:t>NDIS Quality and Safeguards Practice Standards</w:t>
      </w:r>
    </w:p>
    <w:p w14:paraId="55D5A9A2" w14:textId="22684B1C" w:rsidR="003E20A4" w:rsidRDefault="003E20A4" w:rsidP="003E20A4">
      <w:pPr>
        <w:pStyle w:val="ListParagraph"/>
        <w:numPr>
          <w:ilvl w:val="0"/>
          <w:numId w:val="2"/>
        </w:numPr>
      </w:pPr>
      <w:r>
        <w:t>Victorian Charter of Human Rights and Responsibilities Act 2006</w:t>
      </w:r>
    </w:p>
    <w:p w14:paraId="28786675" w14:textId="442CB1D5" w:rsidR="003E20A4" w:rsidRDefault="003E20A4" w:rsidP="003E20A4">
      <w:pPr>
        <w:pStyle w:val="ListParagraph"/>
        <w:numPr>
          <w:ilvl w:val="0"/>
          <w:numId w:val="2"/>
        </w:numPr>
      </w:pPr>
      <w:r>
        <w:t>The Principles and Objectives of the Disability Act 2006</w:t>
      </w:r>
    </w:p>
    <w:p w14:paraId="01AF0B41" w14:textId="0F77E6CB" w:rsidR="003E20A4" w:rsidRDefault="003E20A4" w:rsidP="003E20A4">
      <w:pPr>
        <w:pStyle w:val="ListParagraph"/>
        <w:numPr>
          <w:ilvl w:val="0"/>
          <w:numId w:val="2"/>
        </w:numPr>
      </w:pPr>
      <w:r>
        <w:t>The United Nations Convention of Rights of Persons with Disabilities 2006</w:t>
      </w:r>
    </w:p>
    <w:p w14:paraId="1676E0BE" w14:textId="33351D13" w:rsidR="003E20A4" w:rsidRDefault="003E20A4" w:rsidP="003E20A4">
      <w:pPr>
        <w:pStyle w:val="ListParagraph"/>
        <w:numPr>
          <w:ilvl w:val="0"/>
          <w:numId w:val="2"/>
        </w:numPr>
      </w:pPr>
      <w:r>
        <w:t xml:space="preserve">The Child Safety Standards </w:t>
      </w:r>
    </w:p>
    <w:p w14:paraId="17A91E26" w14:textId="767C7630" w:rsidR="003E20A4" w:rsidRDefault="003E20A4" w:rsidP="003E20A4">
      <w:pPr>
        <w:pStyle w:val="ListParagraph"/>
        <w:numPr>
          <w:ilvl w:val="0"/>
          <w:numId w:val="2"/>
        </w:numPr>
      </w:pPr>
      <w:r>
        <w:t>The National Disability Insurance Scheme Act 2013</w:t>
      </w:r>
    </w:p>
    <w:p w14:paraId="2B8BF334" w14:textId="77777777" w:rsidR="003E20A4" w:rsidRDefault="003E20A4" w:rsidP="003E20A4">
      <w:pPr>
        <w:rPr>
          <w:b/>
        </w:rPr>
      </w:pPr>
    </w:p>
    <w:p w14:paraId="4D8AFEE9" w14:textId="60EE2846" w:rsidR="003E20A4" w:rsidRDefault="003E20A4" w:rsidP="003E20A4">
      <w:pPr>
        <w:rPr>
          <w:b/>
        </w:rPr>
      </w:pPr>
      <w:r>
        <w:rPr>
          <w:b/>
        </w:rPr>
        <w:t>Cultural and Linguistic Diversity</w:t>
      </w:r>
    </w:p>
    <w:p w14:paraId="3C11EEEE" w14:textId="003373FE" w:rsidR="003E20A4" w:rsidRDefault="003E20A4" w:rsidP="003E20A4">
      <w:r>
        <w:t>Undertake all interactions with participants and co-workers in a culturally sensitive manner.</w:t>
      </w:r>
    </w:p>
    <w:p w14:paraId="12B575E4" w14:textId="5054D14C" w:rsidR="003E20A4" w:rsidRDefault="003E20A4" w:rsidP="003E20A4">
      <w:pPr>
        <w:rPr>
          <w:b/>
        </w:rPr>
      </w:pPr>
      <w:r>
        <w:rPr>
          <w:b/>
        </w:rPr>
        <w:t>Occupational Health and Safety</w:t>
      </w:r>
    </w:p>
    <w:p w14:paraId="1DD3D3B1" w14:textId="77777777" w:rsidR="003E20A4" w:rsidRPr="003E20A4" w:rsidRDefault="003E20A4" w:rsidP="003E20A4">
      <w:pPr>
        <w:pStyle w:val="Default"/>
        <w:rPr>
          <w:rFonts w:asciiTheme="minorHAnsi" w:hAnsiTheme="minorHAnsi" w:cstheme="minorHAnsi"/>
          <w:sz w:val="22"/>
          <w:szCs w:val="22"/>
        </w:rPr>
      </w:pPr>
      <w:r w:rsidRPr="003E20A4">
        <w:rPr>
          <w:rFonts w:asciiTheme="minorHAnsi" w:hAnsiTheme="minorHAnsi" w:cstheme="minorHAnsi"/>
          <w:sz w:val="22"/>
          <w:szCs w:val="22"/>
        </w:rPr>
        <w:t xml:space="preserve">Comply with the requirements of Victorian Occupational Health and Safety (OHS) Act 2004 and related OHS procedures and Safe Operating Procedures developed by Pathways to Care, including: </w:t>
      </w:r>
    </w:p>
    <w:p w14:paraId="4AA06B21" w14:textId="77777777" w:rsidR="003E20A4" w:rsidRPr="003E20A4" w:rsidRDefault="003E20A4" w:rsidP="003E20A4">
      <w:pPr>
        <w:pStyle w:val="Default"/>
        <w:numPr>
          <w:ilvl w:val="0"/>
          <w:numId w:val="3"/>
        </w:numPr>
        <w:rPr>
          <w:rFonts w:asciiTheme="minorHAnsi" w:hAnsiTheme="minorHAnsi" w:cstheme="minorHAnsi"/>
          <w:sz w:val="22"/>
          <w:szCs w:val="22"/>
        </w:rPr>
      </w:pPr>
      <w:r w:rsidRPr="003E20A4">
        <w:rPr>
          <w:rFonts w:asciiTheme="minorHAnsi" w:hAnsiTheme="minorHAnsi" w:cstheme="minorHAnsi"/>
          <w:sz w:val="22"/>
          <w:szCs w:val="22"/>
        </w:rPr>
        <w:t>Work in a manner that considers the health and safety of self and others</w:t>
      </w:r>
    </w:p>
    <w:p w14:paraId="378BFBBE" w14:textId="77777777" w:rsidR="003E20A4" w:rsidRPr="003E20A4" w:rsidRDefault="003E20A4" w:rsidP="003E20A4">
      <w:pPr>
        <w:pStyle w:val="Default"/>
        <w:numPr>
          <w:ilvl w:val="0"/>
          <w:numId w:val="3"/>
        </w:numPr>
        <w:rPr>
          <w:rFonts w:asciiTheme="minorHAnsi" w:hAnsiTheme="minorHAnsi" w:cstheme="minorHAnsi"/>
          <w:sz w:val="22"/>
          <w:szCs w:val="22"/>
        </w:rPr>
      </w:pPr>
      <w:r w:rsidRPr="003E20A4">
        <w:rPr>
          <w:rFonts w:asciiTheme="minorHAnsi" w:hAnsiTheme="minorHAnsi" w:cstheme="minorHAnsi"/>
          <w:sz w:val="22"/>
          <w:szCs w:val="22"/>
        </w:rPr>
        <w:t>Report to work fit for duty and not negatively affected by alcohol, drugs, medication or other substances</w:t>
      </w:r>
    </w:p>
    <w:p w14:paraId="2FF75D45" w14:textId="77777777" w:rsidR="003E20A4" w:rsidRPr="003E20A4" w:rsidRDefault="003E20A4" w:rsidP="003E20A4">
      <w:pPr>
        <w:pStyle w:val="Default"/>
        <w:numPr>
          <w:ilvl w:val="0"/>
          <w:numId w:val="3"/>
        </w:numPr>
        <w:rPr>
          <w:rFonts w:asciiTheme="minorHAnsi" w:hAnsiTheme="minorHAnsi" w:cstheme="minorHAnsi"/>
          <w:sz w:val="22"/>
          <w:szCs w:val="22"/>
        </w:rPr>
      </w:pPr>
      <w:r w:rsidRPr="003E20A4">
        <w:rPr>
          <w:rFonts w:asciiTheme="minorHAnsi" w:hAnsiTheme="minorHAnsi" w:cstheme="minorHAnsi"/>
          <w:sz w:val="22"/>
          <w:szCs w:val="22"/>
        </w:rPr>
        <w:t>Ensure that all work areas are maintained in a safe condition</w:t>
      </w:r>
    </w:p>
    <w:p w14:paraId="1717635B" w14:textId="77777777" w:rsidR="003E20A4" w:rsidRPr="003E20A4" w:rsidRDefault="003E20A4" w:rsidP="003E20A4">
      <w:pPr>
        <w:pStyle w:val="Default"/>
        <w:numPr>
          <w:ilvl w:val="0"/>
          <w:numId w:val="3"/>
        </w:numPr>
        <w:rPr>
          <w:rFonts w:asciiTheme="minorHAnsi" w:hAnsiTheme="minorHAnsi" w:cstheme="minorHAnsi"/>
          <w:sz w:val="22"/>
          <w:szCs w:val="22"/>
        </w:rPr>
      </w:pPr>
      <w:r w:rsidRPr="003E20A4">
        <w:rPr>
          <w:rFonts w:asciiTheme="minorHAnsi" w:hAnsiTheme="minorHAnsi" w:cstheme="minorHAnsi"/>
          <w:sz w:val="22"/>
          <w:szCs w:val="22"/>
        </w:rPr>
        <w:t>Complete site induction</w:t>
      </w:r>
    </w:p>
    <w:p w14:paraId="7541BA07" w14:textId="77777777" w:rsidR="003E20A4" w:rsidRPr="003E20A4" w:rsidRDefault="003E20A4" w:rsidP="003E20A4">
      <w:pPr>
        <w:pStyle w:val="Default"/>
        <w:numPr>
          <w:ilvl w:val="0"/>
          <w:numId w:val="3"/>
        </w:numPr>
        <w:rPr>
          <w:rFonts w:asciiTheme="minorHAnsi" w:hAnsiTheme="minorHAnsi" w:cstheme="minorHAnsi"/>
          <w:sz w:val="22"/>
          <w:szCs w:val="22"/>
        </w:rPr>
      </w:pPr>
      <w:r w:rsidRPr="003E20A4">
        <w:rPr>
          <w:rFonts w:asciiTheme="minorHAnsi" w:hAnsiTheme="minorHAnsi" w:cstheme="minorHAnsi"/>
          <w:sz w:val="22"/>
          <w:szCs w:val="22"/>
        </w:rPr>
        <w:t>Identify, report and record all safety hazards, incidents and injuries</w:t>
      </w:r>
    </w:p>
    <w:p w14:paraId="1CCF6493" w14:textId="77777777" w:rsidR="003E20A4" w:rsidRPr="003E20A4" w:rsidRDefault="003E20A4" w:rsidP="003E20A4">
      <w:pPr>
        <w:pStyle w:val="Default"/>
        <w:numPr>
          <w:ilvl w:val="0"/>
          <w:numId w:val="3"/>
        </w:numPr>
        <w:rPr>
          <w:rFonts w:asciiTheme="minorHAnsi" w:hAnsiTheme="minorHAnsi" w:cstheme="minorHAnsi"/>
          <w:sz w:val="22"/>
          <w:szCs w:val="22"/>
        </w:rPr>
      </w:pPr>
      <w:r w:rsidRPr="003E20A4">
        <w:rPr>
          <w:rFonts w:asciiTheme="minorHAnsi" w:hAnsiTheme="minorHAnsi" w:cstheme="minorHAnsi"/>
          <w:sz w:val="22"/>
          <w:szCs w:val="22"/>
        </w:rPr>
        <w:t>Participate in OHS training programs</w:t>
      </w:r>
    </w:p>
    <w:p w14:paraId="0389F7F6" w14:textId="77777777" w:rsidR="003E20A4" w:rsidRPr="003E20A4" w:rsidRDefault="003E20A4" w:rsidP="003E20A4">
      <w:pPr>
        <w:pStyle w:val="Default"/>
        <w:numPr>
          <w:ilvl w:val="0"/>
          <w:numId w:val="3"/>
        </w:numPr>
        <w:rPr>
          <w:rFonts w:asciiTheme="minorHAnsi" w:hAnsiTheme="minorHAnsi" w:cstheme="minorHAnsi"/>
          <w:sz w:val="22"/>
          <w:szCs w:val="22"/>
        </w:rPr>
      </w:pPr>
      <w:r w:rsidRPr="003E20A4">
        <w:rPr>
          <w:rFonts w:asciiTheme="minorHAnsi" w:hAnsiTheme="minorHAnsi" w:cstheme="minorHAnsi"/>
          <w:sz w:val="22"/>
          <w:szCs w:val="22"/>
        </w:rPr>
        <w:t>Participate in OHS consultation and communication meetings</w:t>
      </w:r>
    </w:p>
    <w:p w14:paraId="626CE8DE" w14:textId="75EC4117" w:rsidR="003E20A4" w:rsidRPr="003E20A4" w:rsidRDefault="003E20A4" w:rsidP="003E20A4">
      <w:pPr>
        <w:pStyle w:val="Default"/>
        <w:numPr>
          <w:ilvl w:val="0"/>
          <w:numId w:val="3"/>
        </w:numPr>
        <w:rPr>
          <w:rFonts w:asciiTheme="minorHAnsi" w:hAnsiTheme="minorHAnsi" w:cstheme="minorHAnsi"/>
          <w:sz w:val="22"/>
          <w:szCs w:val="22"/>
        </w:rPr>
      </w:pPr>
      <w:r w:rsidRPr="003E20A4">
        <w:rPr>
          <w:rFonts w:asciiTheme="minorHAnsi" w:hAnsiTheme="minorHAnsi" w:cstheme="minorHAnsi"/>
          <w:sz w:val="22"/>
          <w:szCs w:val="22"/>
        </w:rPr>
        <w:lastRenderedPageBreak/>
        <w:t xml:space="preserve">Wear and maintain personal protective equipment and clothing correctly </w:t>
      </w:r>
    </w:p>
    <w:p w14:paraId="3FE0604A" w14:textId="18856B06" w:rsidR="003E20A4" w:rsidRDefault="003E20A4" w:rsidP="003E20A4">
      <w:pPr>
        <w:rPr>
          <w:b/>
        </w:rPr>
      </w:pPr>
    </w:p>
    <w:p w14:paraId="51679427" w14:textId="5EADBBEB" w:rsidR="003E20A4" w:rsidRDefault="003E20A4" w:rsidP="003E20A4">
      <w:pPr>
        <w:rPr>
          <w:b/>
        </w:rPr>
      </w:pPr>
      <w:r>
        <w:rPr>
          <w:b/>
        </w:rPr>
        <w:t>Quality Assurance and Continuous Improvement</w:t>
      </w:r>
    </w:p>
    <w:p w14:paraId="3C08C45E" w14:textId="07ECECCB" w:rsidR="003E20A4" w:rsidRPr="003E20A4" w:rsidRDefault="003E20A4" w:rsidP="003E20A4">
      <w:pPr>
        <w:pStyle w:val="ListParagraph"/>
        <w:numPr>
          <w:ilvl w:val="0"/>
          <w:numId w:val="4"/>
        </w:numPr>
        <w:autoSpaceDE w:val="0"/>
        <w:autoSpaceDN w:val="0"/>
        <w:adjustRightInd w:val="0"/>
        <w:spacing w:after="0" w:line="240" w:lineRule="auto"/>
        <w:rPr>
          <w:rFonts w:cstheme="minorHAnsi"/>
          <w:color w:val="000000"/>
        </w:rPr>
      </w:pPr>
      <w:r w:rsidRPr="003E20A4">
        <w:rPr>
          <w:rFonts w:cstheme="minorHAnsi"/>
          <w:color w:val="000000"/>
        </w:rPr>
        <w:t>Attend meetings, workshops, conferences and training as required.</w:t>
      </w:r>
    </w:p>
    <w:p w14:paraId="0532AD9B" w14:textId="3DB73420" w:rsidR="003E20A4" w:rsidRPr="003E20A4" w:rsidRDefault="003E20A4" w:rsidP="003E20A4">
      <w:pPr>
        <w:pStyle w:val="ListParagraph"/>
        <w:numPr>
          <w:ilvl w:val="0"/>
          <w:numId w:val="4"/>
        </w:numPr>
        <w:autoSpaceDE w:val="0"/>
        <w:autoSpaceDN w:val="0"/>
        <w:adjustRightInd w:val="0"/>
        <w:spacing w:after="0" w:line="240" w:lineRule="auto"/>
        <w:rPr>
          <w:rFonts w:cstheme="minorHAnsi"/>
          <w:color w:val="000000"/>
        </w:rPr>
      </w:pPr>
      <w:r w:rsidRPr="003E20A4">
        <w:rPr>
          <w:rFonts w:cstheme="minorHAnsi"/>
          <w:color w:val="000000"/>
        </w:rPr>
        <w:t xml:space="preserve">Become familiar with and follow Pathways </w:t>
      </w:r>
      <w:r w:rsidR="00335A6F">
        <w:rPr>
          <w:rFonts w:cstheme="minorHAnsi"/>
          <w:color w:val="000000"/>
        </w:rPr>
        <w:t>to</w:t>
      </w:r>
      <w:r w:rsidRPr="003E20A4">
        <w:rPr>
          <w:rFonts w:cstheme="minorHAnsi"/>
          <w:color w:val="000000"/>
        </w:rPr>
        <w:t xml:space="preserve"> Care’s policies, </w:t>
      </w:r>
      <w:proofErr w:type="gramStart"/>
      <w:r w:rsidRPr="003E20A4">
        <w:rPr>
          <w:rFonts w:cstheme="minorHAnsi"/>
          <w:color w:val="000000"/>
        </w:rPr>
        <w:t>procedures</w:t>
      </w:r>
      <w:proofErr w:type="gramEnd"/>
      <w:r w:rsidRPr="003E20A4">
        <w:rPr>
          <w:rFonts w:cstheme="minorHAnsi"/>
          <w:color w:val="000000"/>
        </w:rPr>
        <w:t xml:space="preserve"> and management instructions.</w:t>
      </w:r>
    </w:p>
    <w:p w14:paraId="3C258F08" w14:textId="77777777" w:rsidR="003E20A4" w:rsidRPr="003E20A4" w:rsidRDefault="003E20A4" w:rsidP="003E20A4">
      <w:pPr>
        <w:pStyle w:val="ListParagraph"/>
        <w:numPr>
          <w:ilvl w:val="0"/>
          <w:numId w:val="4"/>
        </w:numPr>
        <w:autoSpaceDE w:val="0"/>
        <w:autoSpaceDN w:val="0"/>
        <w:adjustRightInd w:val="0"/>
        <w:spacing w:after="0" w:line="240" w:lineRule="auto"/>
        <w:rPr>
          <w:rFonts w:cstheme="minorHAnsi"/>
          <w:color w:val="000000"/>
        </w:rPr>
      </w:pPr>
      <w:r w:rsidRPr="003E20A4">
        <w:rPr>
          <w:rFonts w:cstheme="minorHAnsi"/>
          <w:color w:val="000000"/>
        </w:rPr>
        <w:t>Be open to new ways of doing things that enhance the quality of life of people with disabilities; respond to challenges with innovative ideas and solutions.</w:t>
      </w:r>
    </w:p>
    <w:p w14:paraId="0E5B885B" w14:textId="4B76FF3D" w:rsidR="003E20A4" w:rsidRDefault="003E20A4" w:rsidP="003E20A4">
      <w:pPr>
        <w:pStyle w:val="ListParagraph"/>
        <w:numPr>
          <w:ilvl w:val="0"/>
          <w:numId w:val="4"/>
        </w:numPr>
        <w:autoSpaceDE w:val="0"/>
        <w:autoSpaceDN w:val="0"/>
        <w:adjustRightInd w:val="0"/>
        <w:spacing w:after="0" w:line="240" w:lineRule="auto"/>
        <w:rPr>
          <w:rFonts w:cstheme="minorHAnsi"/>
          <w:color w:val="000000"/>
        </w:rPr>
      </w:pPr>
      <w:r w:rsidRPr="003E20A4">
        <w:rPr>
          <w:rFonts w:cstheme="minorHAnsi"/>
          <w:color w:val="000000"/>
        </w:rPr>
        <w:t xml:space="preserve">Strive for and promote a continuous quality improvement culture in the quality system and work practices, and offer strategic advice to improve </w:t>
      </w:r>
    </w:p>
    <w:p w14:paraId="2F2AA007" w14:textId="4EBEFF3D" w:rsidR="003E20A4" w:rsidRDefault="003E20A4" w:rsidP="003E20A4">
      <w:pPr>
        <w:autoSpaceDE w:val="0"/>
        <w:autoSpaceDN w:val="0"/>
        <w:adjustRightInd w:val="0"/>
        <w:spacing w:after="0" w:line="240" w:lineRule="auto"/>
        <w:rPr>
          <w:rFonts w:cstheme="minorHAnsi"/>
          <w:color w:val="000000"/>
        </w:rPr>
      </w:pPr>
    </w:p>
    <w:p w14:paraId="0BD88F80" w14:textId="594B1B2A" w:rsidR="003E20A4" w:rsidRDefault="003E20A4" w:rsidP="001F36AA">
      <w:pPr>
        <w:autoSpaceDE w:val="0"/>
        <w:autoSpaceDN w:val="0"/>
        <w:adjustRightInd w:val="0"/>
        <w:spacing w:after="0" w:line="240" w:lineRule="auto"/>
        <w:rPr>
          <w:rFonts w:cstheme="minorHAnsi"/>
          <w:b/>
          <w:color w:val="000000"/>
        </w:rPr>
      </w:pPr>
      <w:r w:rsidRPr="003E20A4">
        <w:rPr>
          <w:rFonts w:cstheme="minorHAnsi"/>
          <w:b/>
          <w:color w:val="000000"/>
        </w:rPr>
        <w:t xml:space="preserve">Support Coordination Key Results </w:t>
      </w:r>
      <w:r>
        <w:rPr>
          <w:rFonts w:cstheme="minorHAnsi"/>
          <w:b/>
          <w:color w:val="000000"/>
        </w:rPr>
        <w:t>Areas:</w:t>
      </w:r>
    </w:p>
    <w:p w14:paraId="4080E2D4" w14:textId="2B8AAEF7" w:rsidR="001F36AA" w:rsidRDefault="001F36AA" w:rsidP="001F36AA">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065"/>
        <w:gridCol w:w="1890"/>
        <w:gridCol w:w="5395"/>
      </w:tblGrid>
      <w:tr w:rsidR="00A73DB4" w14:paraId="7A39D31D" w14:textId="77777777" w:rsidTr="00055A28">
        <w:tc>
          <w:tcPr>
            <w:tcW w:w="2065" w:type="dxa"/>
            <w:shd w:val="clear" w:color="auto" w:fill="D9E2F3" w:themeFill="accent1" w:themeFillTint="33"/>
          </w:tcPr>
          <w:p w14:paraId="6DCDC77D" w14:textId="77777777" w:rsidR="00A73DB4" w:rsidRPr="00F362C8" w:rsidRDefault="00A73DB4" w:rsidP="00055A28">
            <w:pPr>
              <w:autoSpaceDE w:val="0"/>
              <w:autoSpaceDN w:val="0"/>
              <w:adjustRightInd w:val="0"/>
              <w:rPr>
                <w:rFonts w:cstheme="minorHAnsi"/>
                <w:b/>
                <w:bCs/>
                <w:color w:val="000000"/>
              </w:rPr>
            </w:pPr>
            <w:r w:rsidRPr="00F362C8">
              <w:rPr>
                <w:rFonts w:cstheme="minorHAnsi"/>
                <w:b/>
                <w:bCs/>
                <w:color w:val="000000"/>
              </w:rPr>
              <w:t>Key Performance Area</w:t>
            </w:r>
          </w:p>
        </w:tc>
        <w:tc>
          <w:tcPr>
            <w:tcW w:w="1890" w:type="dxa"/>
            <w:shd w:val="clear" w:color="auto" w:fill="D9E2F3" w:themeFill="accent1" w:themeFillTint="33"/>
          </w:tcPr>
          <w:p w14:paraId="0A6B0258" w14:textId="77777777" w:rsidR="00A73DB4" w:rsidRPr="00F362C8" w:rsidRDefault="00A73DB4" w:rsidP="00055A28">
            <w:pPr>
              <w:autoSpaceDE w:val="0"/>
              <w:autoSpaceDN w:val="0"/>
              <w:adjustRightInd w:val="0"/>
              <w:rPr>
                <w:rFonts w:cstheme="minorHAnsi"/>
                <w:b/>
                <w:bCs/>
                <w:color w:val="000000"/>
              </w:rPr>
            </w:pPr>
            <w:r w:rsidRPr="00F362C8">
              <w:rPr>
                <w:rFonts w:cstheme="minorHAnsi"/>
                <w:b/>
                <w:bCs/>
                <w:color w:val="000000"/>
              </w:rPr>
              <w:t>Key Tasks</w:t>
            </w:r>
          </w:p>
        </w:tc>
        <w:tc>
          <w:tcPr>
            <w:tcW w:w="5395" w:type="dxa"/>
            <w:shd w:val="clear" w:color="auto" w:fill="D9E2F3" w:themeFill="accent1" w:themeFillTint="33"/>
          </w:tcPr>
          <w:p w14:paraId="4645AE3A" w14:textId="77777777" w:rsidR="00A73DB4" w:rsidRPr="00F362C8" w:rsidRDefault="00A73DB4" w:rsidP="00055A28">
            <w:pPr>
              <w:autoSpaceDE w:val="0"/>
              <w:autoSpaceDN w:val="0"/>
              <w:adjustRightInd w:val="0"/>
              <w:rPr>
                <w:rFonts w:cstheme="minorHAnsi"/>
                <w:b/>
                <w:bCs/>
                <w:color w:val="000000"/>
              </w:rPr>
            </w:pPr>
            <w:r w:rsidRPr="00F362C8">
              <w:rPr>
                <w:rFonts w:cstheme="minorHAnsi"/>
                <w:b/>
                <w:bCs/>
                <w:color w:val="000000"/>
              </w:rPr>
              <w:t>Performance Indicators</w:t>
            </w:r>
          </w:p>
        </w:tc>
      </w:tr>
      <w:tr w:rsidR="00A73DB4" w14:paraId="48946BE7" w14:textId="77777777" w:rsidTr="00055A28">
        <w:tc>
          <w:tcPr>
            <w:tcW w:w="2065" w:type="dxa"/>
            <w:vMerge w:val="restart"/>
            <w:shd w:val="clear" w:color="auto" w:fill="D9E2F3" w:themeFill="accent1" w:themeFillTint="33"/>
          </w:tcPr>
          <w:p w14:paraId="1764FCE5" w14:textId="1C3CF230" w:rsidR="00A73DB4" w:rsidRPr="009638A9" w:rsidRDefault="00A73DB4" w:rsidP="00055A28">
            <w:pPr>
              <w:autoSpaceDE w:val="0"/>
              <w:autoSpaceDN w:val="0"/>
              <w:adjustRightInd w:val="0"/>
              <w:rPr>
                <w:rFonts w:cstheme="minorHAnsi"/>
                <w:b/>
                <w:bCs/>
                <w:color w:val="000000"/>
              </w:rPr>
            </w:pPr>
            <w:r w:rsidRPr="009638A9">
              <w:rPr>
                <w:rFonts w:cstheme="minorHAnsi"/>
                <w:b/>
                <w:bCs/>
              </w:rPr>
              <w:t xml:space="preserve">To manage a </w:t>
            </w:r>
            <w:r w:rsidR="00EB1FC4">
              <w:rPr>
                <w:rFonts w:cstheme="minorHAnsi"/>
                <w:b/>
                <w:bCs/>
              </w:rPr>
              <w:t xml:space="preserve">specialist </w:t>
            </w:r>
            <w:r w:rsidRPr="009638A9">
              <w:rPr>
                <w:rFonts w:cstheme="minorHAnsi"/>
                <w:b/>
                <w:bCs/>
              </w:rPr>
              <w:t>caseload that comprises people with a disabilit</w:t>
            </w:r>
            <w:r w:rsidR="00EB1FC4">
              <w:rPr>
                <w:rFonts w:cstheme="minorHAnsi"/>
                <w:b/>
                <w:bCs/>
              </w:rPr>
              <w:t xml:space="preserve">y who have complex support needs, and </w:t>
            </w:r>
          </w:p>
        </w:tc>
        <w:tc>
          <w:tcPr>
            <w:tcW w:w="1890" w:type="dxa"/>
          </w:tcPr>
          <w:p w14:paraId="18468C53" w14:textId="77777777" w:rsidR="00A73DB4" w:rsidRDefault="00A73DB4" w:rsidP="00055A28">
            <w:pPr>
              <w:autoSpaceDE w:val="0"/>
              <w:autoSpaceDN w:val="0"/>
              <w:adjustRightInd w:val="0"/>
              <w:rPr>
                <w:rFonts w:cstheme="minorHAnsi"/>
                <w:color w:val="000000"/>
              </w:rPr>
            </w:pPr>
            <w:r>
              <w:rPr>
                <w:rFonts w:cstheme="minorHAnsi"/>
                <w:color w:val="000000"/>
              </w:rPr>
              <w:t>Delivering results through billable targets</w:t>
            </w:r>
          </w:p>
        </w:tc>
        <w:tc>
          <w:tcPr>
            <w:tcW w:w="5395" w:type="dxa"/>
          </w:tcPr>
          <w:p w14:paraId="6582094B" w14:textId="7ECC6F1B" w:rsidR="00A73DB4" w:rsidRDefault="00A73DB4" w:rsidP="00A73DB4">
            <w:pPr>
              <w:pStyle w:val="ListParagraph"/>
              <w:numPr>
                <w:ilvl w:val="0"/>
                <w:numId w:val="14"/>
              </w:numPr>
              <w:autoSpaceDE w:val="0"/>
              <w:autoSpaceDN w:val="0"/>
              <w:adjustRightInd w:val="0"/>
              <w:rPr>
                <w:rFonts w:cstheme="minorHAnsi"/>
                <w:color w:val="000000"/>
              </w:rPr>
            </w:pPr>
            <w:r>
              <w:rPr>
                <w:rFonts w:cstheme="minorHAnsi"/>
                <w:color w:val="000000"/>
              </w:rPr>
              <w:t xml:space="preserve">Meets </w:t>
            </w:r>
            <w:r w:rsidR="00335A6F">
              <w:rPr>
                <w:rFonts w:cstheme="minorHAnsi"/>
                <w:color w:val="000000"/>
              </w:rPr>
              <w:t>70</w:t>
            </w:r>
            <w:r>
              <w:rPr>
                <w:rFonts w:cstheme="minorHAnsi"/>
                <w:color w:val="000000"/>
              </w:rPr>
              <w:t>% billable hours on an average through the quarter</w:t>
            </w:r>
          </w:p>
          <w:p w14:paraId="1D331F47" w14:textId="23AF2821" w:rsidR="00EB1FC4" w:rsidRDefault="00A73DB4" w:rsidP="00EB1FC4">
            <w:pPr>
              <w:pStyle w:val="ListParagraph"/>
              <w:numPr>
                <w:ilvl w:val="0"/>
                <w:numId w:val="14"/>
              </w:numPr>
              <w:autoSpaceDE w:val="0"/>
              <w:autoSpaceDN w:val="0"/>
              <w:adjustRightInd w:val="0"/>
              <w:rPr>
                <w:rFonts w:cstheme="minorHAnsi"/>
                <w:color w:val="000000"/>
              </w:rPr>
            </w:pPr>
            <w:r>
              <w:rPr>
                <w:rFonts w:cstheme="minorHAnsi"/>
                <w:color w:val="000000"/>
              </w:rPr>
              <w:t>Completes unbillable hours template weekly with sufficient information</w:t>
            </w:r>
          </w:p>
          <w:p w14:paraId="11A3400D" w14:textId="301ACFA3" w:rsidR="00EB1FC4" w:rsidRPr="00EB1FC4" w:rsidRDefault="00EB1FC4" w:rsidP="00EB1FC4">
            <w:pPr>
              <w:pStyle w:val="ListParagraph"/>
              <w:numPr>
                <w:ilvl w:val="0"/>
                <w:numId w:val="14"/>
              </w:numPr>
              <w:autoSpaceDE w:val="0"/>
              <w:autoSpaceDN w:val="0"/>
              <w:adjustRightInd w:val="0"/>
              <w:rPr>
                <w:rFonts w:cstheme="minorHAnsi"/>
                <w:color w:val="000000"/>
              </w:rPr>
            </w:pPr>
            <w:r>
              <w:rPr>
                <w:rFonts w:cstheme="minorHAnsi"/>
                <w:color w:val="000000"/>
              </w:rPr>
              <w:t xml:space="preserve">Completes billable spreadsheet and returns </w:t>
            </w:r>
            <w:r w:rsidR="005D3AD8">
              <w:rPr>
                <w:rFonts w:cstheme="minorHAnsi"/>
                <w:color w:val="000000"/>
              </w:rPr>
              <w:t>to Team Leader weekly</w:t>
            </w:r>
          </w:p>
          <w:p w14:paraId="723A7B2D" w14:textId="0A957232" w:rsidR="00A73DB4" w:rsidRPr="004841C2" w:rsidRDefault="00A73DB4" w:rsidP="00A73DB4">
            <w:pPr>
              <w:pStyle w:val="ListParagraph"/>
              <w:numPr>
                <w:ilvl w:val="0"/>
                <w:numId w:val="14"/>
              </w:numPr>
              <w:autoSpaceDE w:val="0"/>
              <w:autoSpaceDN w:val="0"/>
              <w:adjustRightInd w:val="0"/>
              <w:rPr>
                <w:rFonts w:cstheme="minorHAnsi"/>
                <w:color w:val="000000"/>
              </w:rPr>
            </w:pPr>
            <w:r>
              <w:rPr>
                <w:rFonts w:cstheme="minorHAnsi"/>
                <w:color w:val="000000"/>
              </w:rPr>
              <w:t>Has shown insight around billable targets, including how to utilise reports to identify and explore their own performance</w:t>
            </w:r>
          </w:p>
        </w:tc>
      </w:tr>
      <w:tr w:rsidR="00DC2DC9" w14:paraId="35308E8C" w14:textId="77777777" w:rsidTr="00055A28">
        <w:tc>
          <w:tcPr>
            <w:tcW w:w="2065" w:type="dxa"/>
            <w:vMerge/>
            <w:shd w:val="clear" w:color="auto" w:fill="D9E2F3" w:themeFill="accent1" w:themeFillTint="33"/>
          </w:tcPr>
          <w:p w14:paraId="6B2CA0A8" w14:textId="77777777" w:rsidR="00DC2DC9" w:rsidRPr="009638A9" w:rsidRDefault="00DC2DC9" w:rsidP="00DC2DC9">
            <w:pPr>
              <w:autoSpaceDE w:val="0"/>
              <w:autoSpaceDN w:val="0"/>
              <w:adjustRightInd w:val="0"/>
              <w:rPr>
                <w:rFonts w:cstheme="minorHAnsi"/>
                <w:b/>
                <w:bCs/>
              </w:rPr>
            </w:pPr>
          </w:p>
        </w:tc>
        <w:tc>
          <w:tcPr>
            <w:tcW w:w="1890" w:type="dxa"/>
          </w:tcPr>
          <w:p w14:paraId="2A1C2CA4" w14:textId="400F7300" w:rsidR="00DC2DC9" w:rsidRDefault="00DC2DC9" w:rsidP="00DC2DC9">
            <w:pPr>
              <w:autoSpaceDE w:val="0"/>
              <w:autoSpaceDN w:val="0"/>
              <w:adjustRightInd w:val="0"/>
              <w:rPr>
                <w:rFonts w:cstheme="minorHAnsi"/>
                <w:color w:val="000000"/>
              </w:rPr>
            </w:pPr>
            <w:r>
              <w:rPr>
                <w:rFonts w:cstheme="minorHAnsi"/>
                <w:color w:val="000000"/>
              </w:rPr>
              <w:t>Specialist Knowledge and Skills</w:t>
            </w:r>
          </w:p>
        </w:tc>
        <w:tc>
          <w:tcPr>
            <w:tcW w:w="5395" w:type="dxa"/>
          </w:tcPr>
          <w:p w14:paraId="456FD052" w14:textId="77777777" w:rsidR="00DC2DC9" w:rsidRDefault="00DC2DC9" w:rsidP="00DC2DC9">
            <w:pPr>
              <w:pStyle w:val="ListParagraph"/>
              <w:numPr>
                <w:ilvl w:val="0"/>
                <w:numId w:val="14"/>
              </w:numPr>
              <w:autoSpaceDE w:val="0"/>
              <w:autoSpaceDN w:val="0"/>
              <w:adjustRightInd w:val="0"/>
              <w:rPr>
                <w:rFonts w:cstheme="minorHAnsi"/>
                <w:color w:val="000000"/>
              </w:rPr>
            </w:pPr>
            <w:r>
              <w:rPr>
                <w:rFonts w:cstheme="minorHAnsi"/>
                <w:color w:val="000000"/>
              </w:rPr>
              <w:t>Provides required reporting based on the Specialist Support Coordination Framework, as directed by the NDIA.</w:t>
            </w:r>
          </w:p>
          <w:p w14:paraId="116B1F76" w14:textId="77777777" w:rsidR="00DC2DC9" w:rsidRDefault="00DC2DC9" w:rsidP="00DC2DC9">
            <w:pPr>
              <w:pStyle w:val="ListParagraph"/>
              <w:numPr>
                <w:ilvl w:val="0"/>
                <w:numId w:val="14"/>
              </w:numPr>
              <w:autoSpaceDE w:val="0"/>
              <w:autoSpaceDN w:val="0"/>
              <w:adjustRightInd w:val="0"/>
              <w:rPr>
                <w:rFonts w:cstheme="minorHAnsi"/>
                <w:color w:val="000000"/>
              </w:rPr>
            </w:pPr>
            <w:r>
              <w:rPr>
                <w:rFonts w:cstheme="minorHAnsi"/>
                <w:color w:val="000000"/>
              </w:rPr>
              <w:t xml:space="preserve">Demonstrates an advanced knowledge of the Australia Social Services System, and the channels to access relevant supports within each. </w:t>
            </w:r>
          </w:p>
          <w:p w14:paraId="2E597320" w14:textId="77777777" w:rsidR="00DC2DC9" w:rsidRDefault="00DC2DC9" w:rsidP="00DC2DC9">
            <w:pPr>
              <w:pStyle w:val="ListParagraph"/>
              <w:numPr>
                <w:ilvl w:val="0"/>
                <w:numId w:val="14"/>
              </w:numPr>
              <w:autoSpaceDE w:val="0"/>
              <w:autoSpaceDN w:val="0"/>
              <w:adjustRightInd w:val="0"/>
              <w:rPr>
                <w:rFonts w:cstheme="minorHAnsi"/>
                <w:color w:val="000000"/>
              </w:rPr>
            </w:pPr>
            <w:r>
              <w:rPr>
                <w:rFonts w:cstheme="minorHAnsi"/>
                <w:color w:val="000000"/>
              </w:rPr>
              <w:t>Displays confidence and competence in drawing together representatives of each service system in networks of support, as is required for complex care team meetings.</w:t>
            </w:r>
          </w:p>
          <w:p w14:paraId="34F89F91" w14:textId="77777777" w:rsidR="00DC2DC9" w:rsidRDefault="00DC2DC9" w:rsidP="00DC2DC9">
            <w:pPr>
              <w:pStyle w:val="ListParagraph"/>
              <w:numPr>
                <w:ilvl w:val="0"/>
                <w:numId w:val="14"/>
              </w:numPr>
              <w:autoSpaceDE w:val="0"/>
              <w:autoSpaceDN w:val="0"/>
              <w:adjustRightInd w:val="0"/>
              <w:rPr>
                <w:rFonts w:cstheme="minorHAnsi"/>
                <w:color w:val="000000"/>
              </w:rPr>
            </w:pPr>
            <w:r>
              <w:rPr>
                <w:rFonts w:cstheme="minorHAnsi"/>
                <w:color w:val="000000"/>
              </w:rPr>
              <w:t>Documents all interactions to a high standard expected for a specialist position.</w:t>
            </w:r>
          </w:p>
          <w:p w14:paraId="21B2F842" w14:textId="77777777" w:rsidR="00DC2DC9" w:rsidRDefault="00DC2DC9" w:rsidP="00DC2DC9">
            <w:pPr>
              <w:pStyle w:val="ListParagraph"/>
              <w:numPr>
                <w:ilvl w:val="0"/>
                <w:numId w:val="14"/>
              </w:numPr>
              <w:autoSpaceDE w:val="0"/>
              <w:autoSpaceDN w:val="0"/>
              <w:adjustRightInd w:val="0"/>
              <w:rPr>
                <w:rFonts w:cstheme="minorHAnsi"/>
                <w:color w:val="000000"/>
              </w:rPr>
            </w:pPr>
            <w:r>
              <w:rPr>
                <w:rFonts w:cstheme="minorHAnsi"/>
                <w:color w:val="000000"/>
              </w:rPr>
              <w:t xml:space="preserve">Demonstrates a keen awareness of professional boundaries, including the limits of their own job role. </w:t>
            </w:r>
          </w:p>
          <w:p w14:paraId="1C9D940C" w14:textId="77777777" w:rsidR="00DC2DC9" w:rsidRDefault="00DC2DC9" w:rsidP="00DC2DC9">
            <w:pPr>
              <w:pStyle w:val="ListParagraph"/>
              <w:numPr>
                <w:ilvl w:val="0"/>
                <w:numId w:val="14"/>
              </w:numPr>
              <w:autoSpaceDE w:val="0"/>
              <w:autoSpaceDN w:val="0"/>
              <w:adjustRightInd w:val="0"/>
              <w:rPr>
                <w:rFonts w:cstheme="minorHAnsi"/>
                <w:color w:val="000000"/>
              </w:rPr>
            </w:pPr>
            <w:r>
              <w:rPr>
                <w:rFonts w:cstheme="minorHAnsi"/>
                <w:color w:val="000000"/>
              </w:rPr>
              <w:t>Takes in</w:t>
            </w:r>
            <w:r w:rsidR="005C06CC">
              <w:rPr>
                <w:rFonts w:cstheme="minorHAnsi"/>
                <w:color w:val="000000"/>
              </w:rPr>
              <w:t xml:space="preserve">itiative to engage relevant supports outside of the disability service sector to enable key outcomes for all clients. </w:t>
            </w:r>
          </w:p>
          <w:p w14:paraId="5669B6C0" w14:textId="77777777" w:rsidR="005C06CC" w:rsidRDefault="005C06CC" w:rsidP="00DC2DC9">
            <w:pPr>
              <w:pStyle w:val="ListParagraph"/>
              <w:numPr>
                <w:ilvl w:val="0"/>
                <w:numId w:val="14"/>
              </w:numPr>
              <w:autoSpaceDE w:val="0"/>
              <w:autoSpaceDN w:val="0"/>
              <w:adjustRightInd w:val="0"/>
              <w:rPr>
                <w:rFonts w:cstheme="minorHAnsi"/>
                <w:color w:val="000000"/>
              </w:rPr>
            </w:pPr>
            <w:r>
              <w:rPr>
                <w:rFonts w:cstheme="minorHAnsi"/>
                <w:color w:val="000000"/>
              </w:rPr>
              <w:t xml:space="preserve">Demonstrated knowledge of psychosocial diagnoses, both chronic and acute, or the ability </w:t>
            </w:r>
            <w:r>
              <w:rPr>
                <w:rFonts w:cstheme="minorHAnsi"/>
                <w:color w:val="000000"/>
              </w:rPr>
              <w:lastRenderedPageBreak/>
              <w:t>to source accurate and critical patient information.</w:t>
            </w:r>
          </w:p>
          <w:p w14:paraId="2AA36EA1" w14:textId="0CF016DF" w:rsidR="005C06CC" w:rsidRDefault="005C06CC" w:rsidP="00DC2DC9">
            <w:pPr>
              <w:pStyle w:val="ListParagraph"/>
              <w:numPr>
                <w:ilvl w:val="0"/>
                <w:numId w:val="14"/>
              </w:numPr>
              <w:autoSpaceDE w:val="0"/>
              <w:autoSpaceDN w:val="0"/>
              <w:adjustRightInd w:val="0"/>
              <w:rPr>
                <w:rFonts w:cstheme="minorHAnsi"/>
                <w:color w:val="000000"/>
              </w:rPr>
            </w:pPr>
            <w:r>
              <w:rPr>
                <w:rFonts w:cstheme="minorHAnsi"/>
                <w:color w:val="000000"/>
              </w:rPr>
              <w:t xml:space="preserve">Confidence in pursuing relevant case histories to inform solid clinical judgments in the support of specialist clients. </w:t>
            </w:r>
          </w:p>
          <w:p w14:paraId="71AA23E7" w14:textId="6ED389BD" w:rsidR="005C06CC" w:rsidRDefault="005C06CC" w:rsidP="00DC2DC9">
            <w:pPr>
              <w:pStyle w:val="ListParagraph"/>
              <w:numPr>
                <w:ilvl w:val="0"/>
                <w:numId w:val="14"/>
              </w:numPr>
              <w:autoSpaceDE w:val="0"/>
              <w:autoSpaceDN w:val="0"/>
              <w:adjustRightInd w:val="0"/>
              <w:rPr>
                <w:rFonts w:cstheme="minorHAnsi"/>
                <w:color w:val="000000"/>
              </w:rPr>
            </w:pPr>
            <w:r>
              <w:rPr>
                <w:rFonts w:cstheme="minorHAnsi"/>
                <w:color w:val="000000"/>
              </w:rPr>
              <w:t>Current knowledge of restrictive practice guidelines, and awareness of mandatory reporting frameworks (Child Safe and NDIS Commission)</w:t>
            </w:r>
          </w:p>
          <w:p w14:paraId="15E960BA" w14:textId="03B9F17B" w:rsidR="005C06CC" w:rsidRDefault="005C06CC" w:rsidP="00DC2DC9">
            <w:pPr>
              <w:pStyle w:val="ListParagraph"/>
              <w:numPr>
                <w:ilvl w:val="0"/>
                <w:numId w:val="14"/>
              </w:numPr>
              <w:autoSpaceDE w:val="0"/>
              <w:autoSpaceDN w:val="0"/>
              <w:adjustRightInd w:val="0"/>
              <w:rPr>
                <w:rFonts w:cstheme="minorHAnsi"/>
                <w:color w:val="000000"/>
              </w:rPr>
            </w:pPr>
            <w:r>
              <w:rPr>
                <w:rFonts w:cstheme="minorHAnsi"/>
                <w:color w:val="000000"/>
              </w:rPr>
              <w:t>The proven ability to monitor their own health and wellbeing to sustain the job role.</w:t>
            </w:r>
          </w:p>
        </w:tc>
      </w:tr>
      <w:tr w:rsidR="002629AA" w14:paraId="210B5A12" w14:textId="77777777" w:rsidTr="00055A28">
        <w:tc>
          <w:tcPr>
            <w:tcW w:w="2065" w:type="dxa"/>
            <w:vMerge/>
            <w:shd w:val="clear" w:color="auto" w:fill="D9E2F3" w:themeFill="accent1" w:themeFillTint="33"/>
          </w:tcPr>
          <w:p w14:paraId="213E1775" w14:textId="77777777" w:rsidR="002629AA" w:rsidRPr="009638A9" w:rsidRDefault="002629AA" w:rsidP="002629AA">
            <w:pPr>
              <w:autoSpaceDE w:val="0"/>
              <w:autoSpaceDN w:val="0"/>
              <w:adjustRightInd w:val="0"/>
              <w:rPr>
                <w:rFonts w:cstheme="minorHAnsi"/>
                <w:b/>
                <w:bCs/>
              </w:rPr>
            </w:pPr>
          </w:p>
        </w:tc>
        <w:tc>
          <w:tcPr>
            <w:tcW w:w="1890" w:type="dxa"/>
          </w:tcPr>
          <w:p w14:paraId="6616AEE1" w14:textId="321DD349" w:rsidR="002629AA" w:rsidRDefault="002629AA" w:rsidP="002629AA">
            <w:pPr>
              <w:autoSpaceDE w:val="0"/>
              <w:autoSpaceDN w:val="0"/>
              <w:adjustRightInd w:val="0"/>
              <w:rPr>
                <w:rFonts w:cstheme="minorHAnsi"/>
                <w:color w:val="000000"/>
              </w:rPr>
            </w:pPr>
            <w:r>
              <w:rPr>
                <w:rFonts w:cstheme="minorHAnsi"/>
                <w:color w:val="000000"/>
              </w:rPr>
              <w:t>Functional Knowledge and Skills</w:t>
            </w:r>
          </w:p>
        </w:tc>
        <w:tc>
          <w:tcPr>
            <w:tcW w:w="5395" w:type="dxa"/>
          </w:tcPr>
          <w:p w14:paraId="460C46AC" w14:textId="77777777" w:rsidR="002629AA" w:rsidRPr="00D83273" w:rsidRDefault="002629AA" w:rsidP="00DC2DC9">
            <w:pPr>
              <w:numPr>
                <w:ilvl w:val="0"/>
                <w:numId w:val="17"/>
              </w:numPr>
              <w:rPr>
                <w:rFonts w:eastAsia="Times New Roman" w:cstheme="minorHAnsi"/>
              </w:rPr>
            </w:pPr>
            <w:r w:rsidRPr="00D83273">
              <w:rPr>
                <w:rFonts w:eastAsia="Times New Roman" w:cstheme="minorHAnsi"/>
              </w:rPr>
              <w:t xml:space="preserve">A budget for each </w:t>
            </w:r>
            <w:r>
              <w:rPr>
                <w:rFonts w:eastAsia="Times New Roman" w:cstheme="minorHAnsi"/>
              </w:rPr>
              <w:t>participant</w:t>
            </w:r>
            <w:r w:rsidRPr="00D83273">
              <w:rPr>
                <w:rFonts w:eastAsia="Times New Roman" w:cstheme="minorHAnsi"/>
              </w:rPr>
              <w:t>s</w:t>
            </w:r>
            <w:r>
              <w:rPr>
                <w:rFonts w:eastAsia="Times New Roman" w:cstheme="minorHAnsi"/>
              </w:rPr>
              <w:t>’</w:t>
            </w:r>
            <w:r w:rsidRPr="00D83273">
              <w:rPr>
                <w:rFonts w:eastAsia="Times New Roman" w:cstheme="minorHAnsi"/>
              </w:rPr>
              <w:t xml:space="preserve"> services and activities is evident on file. </w:t>
            </w:r>
          </w:p>
          <w:p w14:paraId="600006E7" w14:textId="77777777" w:rsidR="002629AA" w:rsidRPr="00D83273" w:rsidRDefault="002629AA" w:rsidP="00DC2DC9">
            <w:pPr>
              <w:numPr>
                <w:ilvl w:val="0"/>
                <w:numId w:val="17"/>
              </w:numPr>
              <w:rPr>
                <w:rFonts w:eastAsia="Times New Roman" w:cstheme="minorHAnsi"/>
              </w:rPr>
            </w:pPr>
            <w:r w:rsidRPr="00D83273">
              <w:rPr>
                <w:rFonts w:eastAsia="Times New Roman" w:cstheme="minorHAnsi"/>
              </w:rPr>
              <w:t xml:space="preserve">Offers options to participants in service providers/activities to mobilize principal of choice and control. </w:t>
            </w:r>
          </w:p>
          <w:p w14:paraId="7C15C4A0" w14:textId="77777777" w:rsidR="002629AA" w:rsidRPr="00D83273" w:rsidRDefault="002629AA" w:rsidP="00DC2DC9">
            <w:pPr>
              <w:numPr>
                <w:ilvl w:val="0"/>
                <w:numId w:val="17"/>
              </w:numPr>
              <w:rPr>
                <w:rFonts w:eastAsia="Times New Roman" w:cstheme="minorHAnsi"/>
              </w:rPr>
            </w:pPr>
            <w:r w:rsidRPr="00D83273">
              <w:rPr>
                <w:rFonts w:eastAsia="Times New Roman" w:cstheme="minorHAnsi"/>
              </w:rPr>
              <w:t xml:space="preserve">Applies current knowledge on NDIS funding principals; including application of the price guide and ‘reasonable and necessary’ supports. </w:t>
            </w:r>
          </w:p>
          <w:p w14:paraId="6A251FDD" w14:textId="77777777" w:rsidR="002629AA" w:rsidRPr="00D83273" w:rsidRDefault="002629AA" w:rsidP="00DC2DC9">
            <w:pPr>
              <w:numPr>
                <w:ilvl w:val="0"/>
                <w:numId w:val="17"/>
              </w:numPr>
              <w:rPr>
                <w:rFonts w:eastAsia="Times New Roman" w:cstheme="minorHAnsi"/>
              </w:rPr>
            </w:pPr>
            <w:r w:rsidRPr="00D83273">
              <w:rPr>
                <w:rFonts w:eastAsia="Times New Roman" w:cstheme="minorHAnsi"/>
              </w:rPr>
              <w:t>Keeps abreast of major developments in the NDIS.</w:t>
            </w:r>
          </w:p>
          <w:p w14:paraId="0F3FE39B" w14:textId="2D44574C" w:rsidR="002629AA" w:rsidRDefault="002629AA" w:rsidP="002629AA">
            <w:pPr>
              <w:pStyle w:val="ListParagraph"/>
              <w:numPr>
                <w:ilvl w:val="0"/>
                <w:numId w:val="14"/>
              </w:numPr>
              <w:autoSpaceDE w:val="0"/>
              <w:autoSpaceDN w:val="0"/>
              <w:adjustRightInd w:val="0"/>
              <w:rPr>
                <w:rFonts w:cstheme="minorHAnsi"/>
                <w:color w:val="000000"/>
              </w:rPr>
            </w:pPr>
            <w:r w:rsidRPr="00D83273">
              <w:rPr>
                <w:rFonts w:eastAsia="Times New Roman" w:cstheme="minorHAnsi"/>
              </w:rPr>
              <w:t xml:space="preserve">The participant Health Record is maintained in Lumary as per the PTC case noting guidelines (Notes entered with 48 hours, </w:t>
            </w:r>
            <w:proofErr w:type="gramStart"/>
            <w:r w:rsidRPr="00D83273">
              <w:rPr>
                <w:rFonts w:eastAsia="Times New Roman" w:cstheme="minorHAnsi"/>
              </w:rPr>
              <w:t>objective</w:t>
            </w:r>
            <w:proofErr w:type="gramEnd"/>
            <w:r w:rsidRPr="00D83273">
              <w:rPr>
                <w:rFonts w:eastAsia="Times New Roman" w:cstheme="minorHAnsi"/>
              </w:rPr>
              <w:t xml:space="preserve"> and thorough information in each note to understand agreed actions, where risk is evident it is sufficiently addressed or discharged appropriately). </w:t>
            </w:r>
          </w:p>
        </w:tc>
      </w:tr>
      <w:tr w:rsidR="002629AA" w14:paraId="382B993D" w14:textId="77777777" w:rsidTr="00055A28">
        <w:tc>
          <w:tcPr>
            <w:tcW w:w="2065" w:type="dxa"/>
            <w:vMerge/>
            <w:shd w:val="clear" w:color="auto" w:fill="D9E2F3" w:themeFill="accent1" w:themeFillTint="33"/>
          </w:tcPr>
          <w:p w14:paraId="4AA74FA6" w14:textId="77777777" w:rsidR="002629AA" w:rsidRPr="009638A9" w:rsidRDefault="002629AA" w:rsidP="002629AA">
            <w:pPr>
              <w:autoSpaceDE w:val="0"/>
              <w:autoSpaceDN w:val="0"/>
              <w:adjustRightInd w:val="0"/>
              <w:rPr>
                <w:rFonts w:cstheme="minorHAnsi"/>
                <w:b/>
                <w:bCs/>
              </w:rPr>
            </w:pPr>
          </w:p>
        </w:tc>
        <w:tc>
          <w:tcPr>
            <w:tcW w:w="1890" w:type="dxa"/>
          </w:tcPr>
          <w:p w14:paraId="0FA76C3F" w14:textId="3664DB68" w:rsidR="002629AA" w:rsidRDefault="002629AA" w:rsidP="002629AA">
            <w:pPr>
              <w:autoSpaceDE w:val="0"/>
              <w:autoSpaceDN w:val="0"/>
              <w:adjustRightInd w:val="0"/>
              <w:rPr>
                <w:rFonts w:cstheme="minorHAnsi"/>
                <w:color w:val="000000"/>
              </w:rPr>
            </w:pPr>
            <w:r>
              <w:rPr>
                <w:rFonts w:cstheme="minorHAnsi"/>
                <w:color w:val="000000"/>
              </w:rPr>
              <w:t>Informal Staff Support</w:t>
            </w:r>
          </w:p>
        </w:tc>
        <w:tc>
          <w:tcPr>
            <w:tcW w:w="5395" w:type="dxa"/>
          </w:tcPr>
          <w:p w14:paraId="5641EB10" w14:textId="6865039E" w:rsidR="002629AA" w:rsidRDefault="002629AA" w:rsidP="002629AA">
            <w:pPr>
              <w:numPr>
                <w:ilvl w:val="0"/>
                <w:numId w:val="17"/>
              </w:numPr>
              <w:rPr>
                <w:rFonts w:eastAsia="Times New Roman" w:cstheme="minorHAnsi"/>
              </w:rPr>
            </w:pPr>
            <w:r>
              <w:rPr>
                <w:rFonts w:eastAsia="Times New Roman" w:cstheme="minorHAnsi"/>
              </w:rPr>
              <w:t>Pr</w:t>
            </w:r>
            <w:r w:rsidR="00D068E8">
              <w:rPr>
                <w:rFonts w:eastAsia="Times New Roman" w:cstheme="minorHAnsi"/>
              </w:rPr>
              <w:t xml:space="preserve">imary source of secondary consultation around areas of clinical complexity or risk emerging from the Support Coordination Team. </w:t>
            </w:r>
          </w:p>
          <w:p w14:paraId="39E3AD30" w14:textId="44FD517E" w:rsidR="002629AA" w:rsidRDefault="002629AA" w:rsidP="002629AA">
            <w:pPr>
              <w:numPr>
                <w:ilvl w:val="0"/>
                <w:numId w:val="17"/>
              </w:numPr>
              <w:rPr>
                <w:rFonts w:eastAsia="Times New Roman" w:cstheme="minorHAnsi"/>
              </w:rPr>
            </w:pPr>
            <w:r>
              <w:rPr>
                <w:rFonts w:eastAsia="Times New Roman" w:cstheme="minorHAnsi"/>
              </w:rPr>
              <w:t>Escalates areas of risk or concern to Team Leader and National Manager as they arise.</w:t>
            </w:r>
          </w:p>
          <w:p w14:paraId="08A2A7CA" w14:textId="2FF8EE74" w:rsidR="002629AA" w:rsidRDefault="002629AA" w:rsidP="002629AA">
            <w:pPr>
              <w:numPr>
                <w:ilvl w:val="0"/>
                <w:numId w:val="17"/>
              </w:numPr>
              <w:rPr>
                <w:rFonts w:eastAsia="Times New Roman" w:cstheme="minorHAnsi"/>
              </w:rPr>
            </w:pPr>
            <w:r>
              <w:rPr>
                <w:rFonts w:eastAsia="Times New Roman" w:cstheme="minorHAnsi"/>
              </w:rPr>
              <w:t>Identifies gaps in team member knowledge and communicates training needs to the Team Leader</w:t>
            </w:r>
          </w:p>
          <w:p w14:paraId="24F077AB" w14:textId="452C3008" w:rsidR="002629AA" w:rsidRPr="00D83273" w:rsidRDefault="002629AA" w:rsidP="002629AA">
            <w:pPr>
              <w:numPr>
                <w:ilvl w:val="0"/>
                <w:numId w:val="17"/>
              </w:numPr>
              <w:rPr>
                <w:rFonts w:eastAsia="Times New Roman" w:cstheme="minorHAnsi"/>
              </w:rPr>
            </w:pPr>
            <w:r>
              <w:rPr>
                <w:rFonts w:eastAsia="Times New Roman" w:cstheme="minorHAnsi"/>
              </w:rPr>
              <w:t>Provide Induction and onboarding training for new Support Coordinators in conjunction with Team Leader</w:t>
            </w:r>
          </w:p>
        </w:tc>
      </w:tr>
      <w:tr w:rsidR="002629AA" w14:paraId="37E3382C" w14:textId="77777777" w:rsidTr="00055A28">
        <w:tc>
          <w:tcPr>
            <w:tcW w:w="2065" w:type="dxa"/>
            <w:vMerge/>
            <w:shd w:val="clear" w:color="auto" w:fill="D9E2F3" w:themeFill="accent1" w:themeFillTint="33"/>
          </w:tcPr>
          <w:p w14:paraId="1340CFEB" w14:textId="77777777" w:rsidR="002629AA" w:rsidRPr="009638A9" w:rsidRDefault="002629AA" w:rsidP="00DC2DC9">
            <w:pPr>
              <w:autoSpaceDE w:val="0"/>
              <w:autoSpaceDN w:val="0"/>
              <w:adjustRightInd w:val="0"/>
              <w:rPr>
                <w:rFonts w:cstheme="minorHAnsi"/>
                <w:b/>
                <w:bCs/>
              </w:rPr>
            </w:pPr>
          </w:p>
        </w:tc>
        <w:tc>
          <w:tcPr>
            <w:tcW w:w="1890" w:type="dxa"/>
          </w:tcPr>
          <w:p w14:paraId="387531C7" w14:textId="74591FE3" w:rsidR="002629AA" w:rsidRDefault="002629AA" w:rsidP="00DC2DC9">
            <w:pPr>
              <w:autoSpaceDE w:val="0"/>
              <w:autoSpaceDN w:val="0"/>
              <w:adjustRightInd w:val="0"/>
              <w:rPr>
                <w:rFonts w:cstheme="minorHAnsi"/>
                <w:color w:val="000000"/>
              </w:rPr>
            </w:pPr>
            <w:r>
              <w:rPr>
                <w:rFonts w:cstheme="minorHAnsi"/>
                <w:color w:val="000000"/>
              </w:rPr>
              <w:t>Building Capacity: Measurement, Implementation and Documentation</w:t>
            </w:r>
          </w:p>
        </w:tc>
        <w:tc>
          <w:tcPr>
            <w:tcW w:w="5395" w:type="dxa"/>
          </w:tcPr>
          <w:p w14:paraId="390EC691" w14:textId="77777777" w:rsidR="002629AA" w:rsidRPr="003B64A7" w:rsidRDefault="002629AA" w:rsidP="00A73DB4">
            <w:pPr>
              <w:pStyle w:val="ListParagraph"/>
              <w:numPr>
                <w:ilvl w:val="0"/>
                <w:numId w:val="15"/>
              </w:numPr>
              <w:autoSpaceDE w:val="0"/>
              <w:autoSpaceDN w:val="0"/>
              <w:adjustRightInd w:val="0"/>
              <w:rPr>
                <w:rFonts w:cstheme="minorHAnsi"/>
                <w:color w:val="000000"/>
              </w:rPr>
            </w:pPr>
            <w:r>
              <w:rPr>
                <w:rFonts w:eastAsia="Times New Roman" w:cstheme="minorHAnsi"/>
                <w:bCs/>
              </w:rPr>
              <w:t xml:space="preserve">Maintains documentation and participant practice in line with Pathways to Care policies </w:t>
            </w:r>
          </w:p>
          <w:p w14:paraId="03037D1B" w14:textId="06E47675" w:rsidR="002629AA" w:rsidRPr="005C06CC" w:rsidRDefault="002629AA" w:rsidP="002629AA">
            <w:pPr>
              <w:ind w:left="720"/>
              <w:rPr>
                <w:rFonts w:eastAsia="Times New Roman" w:cstheme="minorHAnsi"/>
              </w:rPr>
            </w:pPr>
            <w:r>
              <w:rPr>
                <w:rFonts w:cstheme="minorHAnsi"/>
                <w:color w:val="000000"/>
              </w:rPr>
              <w:t>(see Initial Meeting Policy, Support Coordination Practice Policy, Case Note Policy and Participant Incident Management Policy)</w:t>
            </w:r>
          </w:p>
        </w:tc>
      </w:tr>
      <w:tr w:rsidR="002629AA" w14:paraId="220C46EE" w14:textId="77777777" w:rsidTr="00055A28">
        <w:trPr>
          <w:trHeight w:val="800"/>
        </w:trPr>
        <w:tc>
          <w:tcPr>
            <w:tcW w:w="2065" w:type="dxa"/>
            <w:vMerge/>
            <w:shd w:val="clear" w:color="auto" w:fill="D9E2F3" w:themeFill="accent1" w:themeFillTint="33"/>
          </w:tcPr>
          <w:p w14:paraId="00FC4ED2" w14:textId="77777777" w:rsidR="002629AA" w:rsidRDefault="002629AA" w:rsidP="00055A28">
            <w:pPr>
              <w:autoSpaceDE w:val="0"/>
              <w:autoSpaceDN w:val="0"/>
              <w:adjustRightInd w:val="0"/>
              <w:rPr>
                <w:rFonts w:cstheme="minorHAnsi"/>
                <w:color w:val="000000"/>
              </w:rPr>
            </w:pPr>
          </w:p>
        </w:tc>
        <w:tc>
          <w:tcPr>
            <w:tcW w:w="1890" w:type="dxa"/>
          </w:tcPr>
          <w:p w14:paraId="6A686FDB" w14:textId="0DCDE21F" w:rsidR="002629AA" w:rsidRDefault="002629AA" w:rsidP="00055A28">
            <w:pPr>
              <w:autoSpaceDE w:val="0"/>
              <w:autoSpaceDN w:val="0"/>
              <w:adjustRightInd w:val="0"/>
              <w:rPr>
                <w:rFonts w:cstheme="minorHAnsi"/>
                <w:color w:val="000000"/>
              </w:rPr>
            </w:pPr>
            <w:r>
              <w:rPr>
                <w:rFonts w:cstheme="minorHAnsi"/>
                <w:color w:val="000000"/>
              </w:rPr>
              <w:t>Quality of Engagement with Participants and their families</w:t>
            </w:r>
          </w:p>
        </w:tc>
        <w:tc>
          <w:tcPr>
            <w:tcW w:w="5395" w:type="dxa"/>
          </w:tcPr>
          <w:p w14:paraId="78BE860D" w14:textId="77777777" w:rsidR="002629AA" w:rsidRPr="003B64A7" w:rsidRDefault="002629AA" w:rsidP="00C436F4">
            <w:pPr>
              <w:pStyle w:val="ListParagraph"/>
              <w:numPr>
                <w:ilvl w:val="0"/>
                <w:numId w:val="16"/>
              </w:numPr>
              <w:autoSpaceDE w:val="0"/>
              <w:autoSpaceDN w:val="0"/>
              <w:adjustRightInd w:val="0"/>
              <w:rPr>
                <w:rFonts w:cstheme="minorHAnsi"/>
                <w:color w:val="000000"/>
              </w:rPr>
            </w:pPr>
            <w:r>
              <w:rPr>
                <w:rFonts w:eastAsia="Times New Roman" w:cstheme="minorHAnsi"/>
                <w:bCs/>
              </w:rPr>
              <w:t xml:space="preserve">Maintains participant engagements in line with Pathways to Care Support Coordination Policies  </w:t>
            </w:r>
          </w:p>
          <w:p w14:paraId="77C37FD7" w14:textId="711B4CF1" w:rsidR="002629AA" w:rsidRPr="00F362C8" w:rsidRDefault="002629AA" w:rsidP="003B64A7">
            <w:pPr>
              <w:pStyle w:val="ListParagraph"/>
              <w:autoSpaceDE w:val="0"/>
              <w:autoSpaceDN w:val="0"/>
              <w:adjustRightInd w:val="0"/>
              <w:rPr>
                <w:rFonts w:cstheme="minorHAnsi"/>
                <w:color w:val="000000"/>
              </w:rPr>
            </w:pPr>
            <w:r>
              <w:rPr>
                <w:rFonts w:cstheme="minorHAnsi"/>
                <w:color w:val="000000"/>
              </w:rPr>
              <w:t xml:space="preserve">(see Initial Meeting Policy, Support Coordination Practice Policy, Case Note Policy, Support </w:t>
            </w:r>
            <w:r>
              <w:rPr>
                <w:rFonts w:cstheme="minorHAnsi"/>
                <w:color w:val="000000"/>
              </w:rPr>
              <w:lastRenderedPageBreak/>
              <w:t>Coordination Performance Evaluation Document</w:t>
            </w:r>
            <w:r w:rsidR="001253B2">
              <w:rPr>
                <w:rFonts w:cstheme="minorHAnsi"/>
                <w:color w:val="000000"/>
              </w:rPr>
              <w:t xml:space="preserve"> and Code of Conduct</w:t>
            </w:r>
            <w:r>
              <w:rPr>
                <w:rFonts w:cstheme="minorHAnsi"/>
                <w:color w:val="000000"/>
              </w:rPr>
              <w:t>)</w:t>
            </w:r>
            <w:r w:rsidRPr="00D83273">
              <w:rPr>
                <w:rFonts w:eastAsia="Times New Roman" w:cstheme="minorHAnsi"/>
              </w:rPr>
              <w:t xml:space="preserve"> </w:t>
            </w:r>
          </w:p>
        </w:tc>
      </w:tr>
      <w:tr w:rsidR="002629AA" w14:paraId="74A27F70" w14:textId="77777777" w:rsidTr="00055A28">
        <w:tc>
          <w:tcPr>
            <w:tcW w:w="2065" w:type="dxa"/>
            <w:vMerge/>
            <w:shd w:val="clear" w:color="auto" w:fill="D9E2F3" w:themeFill="accent1" w:themeFillTint="33"/>
          </w:tcPr>
          <w:p w14:paraId="4C09DA9F" w14:textId="77777777" w:rsidR="002629AA" w:rsidRDefault="002629AA" w:rsidP="00055A28">
            <w:pPr>
              <w:autoSpaceDE w:val="0"/>
              <w:autoSpaceDN w:val="0"/>
              <w:adjustRightInd w:val="0"/>
              <w:rPr>
                <w:rFonts w:cstheme="minorHAnsi"/>
                <w:color w:val="000000"/>
              </w:rPr>
            </w:pPr>
          </w:p>
        </w:tc>
        <w:tc>
          <w:tcPr>
            <w:tcW w:w="1890" w:type="dxa"/>
          </w:tcPr>
          <w:p w14:paraId="3114EE83" w14:textId="201CBD7D" w:rsidR="002629AA" w:rsidRDefault="002629AA" w:rsidP="00055A28">
            <w:pPr>
              <w:autoSpaceDE w:val="0"/>
              <w:autoSpaceDN w:val="0"/>
              <w:adjustRightInd w:val="0"/>
              <w:rPr>
                <w:rFonts w:cstheme="minorHAnsi"/>
                <w:color w:val="000000"/>
              </w:rPr>
            </w:pPr>
            <w:r>
              <w:rPr>
                <w:rFonts w:cstheme="minorHAnsi"/>
                <w:color w:val="000000"/>
              </w:rPr>
              <w:t>Service to the Team, Management and Organisation</w:t>
            </w:r>
          </w:p>
        </w:tc>
        <w:tc>
          <w:tcPr>
            <w:tcW w:w="5395" w:type="dxa"/>
          </w:tcPr>
          <w:p w14:paraId="11ED26CB" w14:textId="77777777" w:rsidR="002629AA" w:rsidRPr="00D83273" w:rsidRDefault="002629AA" w:rsidP="00A73DB4">
            <w:pPr>
              <w:numPr>
                <w:ilvl w:val="0"/>
                <w:numId w:val="17"/>
              </w:numPr>
              <w:rPr>
                <w:rFonts w:eastAsia="Times New Roman" w:cstheme="minorHAnsi"/>
              </w:rPr>
            </w:pPr>
            <w:r w:rsidRPr="00D83273">
              <w:rPr>
                <w:rFonts w:eastAsia="Times New Roman" w:cstheme="minorHAnsi"/>
              </w:rPr>
              <w:t xml:space="preserve">Is aware of their presence within the working environment and conducts themselves in a professional manner. </w:t>
            </w:r>
          </w:p>
          <w:p w14:paraId="64DF1B41" w14:textId="77777777" w:rsidR="002629AA" w:rsidRPr="00D83273" w:rsidRDefault="002629AA" w:rsidP="00A73DB4">
            <w:pPr>
              <w:numPr>
                <w:ilvl w:val="0"/>
                <w:numId w:val="17"/>
              </w:numPr>
              <w:rPr>
                <w:rFonts w:eastAsia="Times New Roman" w:cstheme="minorHAnsi"/>
              </w:rPr>
            </w:pPr>
            <w:r w:rsidRPr="00D83273">
              <w:rPr>
                <w:rFonts w:eastAsia="Times New Roman" w:cstheme="minorHAnsi"/>
              </w:rPr>
              <w:t xml:space="preserve">Proactively participates in Supervision. </w:t>
            </w:r>
          </w:p>
          <w:p w14:paraId="1CB9DEDF" w14:textId="77777777" w:rsidR="002629AA" w:rsidRDefault="002629AA" w:rsidP="00C436F4">
            <w:pPr>
              <w:numPr>
                <w:ilvl w:val="0"/>
                <w:numId w:val="17"/>
              </w:numPr>
              <w:rPr>
                <w:rFonts w:eastAsia="Times New Roman" w:cstheme="minorHAnsi"/>
              </w:rPr>
            </w:pPr>
            <w:r w:rsidRPr="00D83273">
              <w:rPr>
                <w:rFonts w:eastAsia="Times New Roman" w:cstheme="minorHAnsi"/>
              </w:rPr>
              <w:t>Reflects mindfully on work processes and provides constructive suggestions for improvement</w:t>
            </w:r>
            <w:r>
              <w:rPr>
                <w:rFonts w:eastAsia="Times New Roman" w:cstheme="minorHAnsi"/>
              </w:rPr>
              <w:t xml:space="preserve">. </w:t>
            </w:r>
          </w:p>
          <w:p w14:paraId="5E25718A" w14:textId="4D64FACA" w:rsidR="002629AA" w:rsidRDefault="002629AA" w:rsidP="00C436F4">
            <w:pPr>
              <w:numPr>
                <w:ilvl w:val="0"/>
                <w:numId w:val="17"/>
              </w:numPr>
              <w:rPr>
                <w:rFonts w:eastAsia="Times New Roman" w:cstheme="minorHAnsi"/>
              </w:rPr>
            </w:pPr>
            <w:r w:rsidRPr="00D83273">
              <w:rPr>
                <w:rFonts w:eastAsia="Times New Roman" w:cstheme="minorHAnsi"/>
              </w:rPr>
              <w:t xml:space="preserve">When </w:t>
            </w:r>
            <w:r>
              <w:rPr>
                <w:rFonts w:eastAsia="Times New Roman" w:cstheme="minorHAnsi"/>
              </w:rPr>
              <w:t>concerns arise</w:t>
            </w:r>
            <w:r w:rsidRPr="00D83273">
              <w:rPr>
                <w:rFonts w:eastAsia="Times New Roman" w:cstheme="minorHAnsi"/>
              </w:rPr>
              <w:t xml:space="preserve">, offers a suggestion for improvement rather than criticism alone. Embodies a positive attitude and outlook whilst at work. </w:t>
            </w:r>
          </w:p>
          <w:p w14:paraId="5D81AEAC" w14:textId="77777777" w:rsidR="002629AA" w:rsidRPr="00C436F4" w:rsidRDefault="002629AA" w:rsidP="00C436F4">
            <w:pPr>
              <w:pStyle w:val="ListParagraph"/>
              <w:numPr>
                <w:ilvl w:val="0"/>
                <w:numId w:val="17"/>
              </w:numPr>
              <w:contextualSpacing w:val="0"/>
              <w:rPr>
                <w:rFonts w:eastAsia="Times New Roman" w:cstheme="minorHAnsi"/>
              </w:rPr>
            </w:pPr>
            <w:r w:rsidRPr="00D83273">
              <w:rPr>
                <w:rFonts w:eastAsia="Times New Roman" w:cstheme="minorHAnsi"/>
              </w:rPr>
              <w:t xml:space="preserve">Refrains from participating in gossip and treats colleagues and participants with respect. </w:t>
            </w:r>
          </w:p>
          <w:p w14:paraId="29DF3FE2" w14:textId="099E1DE2" w:rsidR="002629AA" w:rsidRPr="00EB1FC4" w:rsidRDefault="002629AA" w:rsidP="00C436F4">
            <w:pPr>
              <w:ind w:left="720"/>
              <w:rPr>
                <w:rFonts w:eastAsia="Times New Roman" w:cstheme="minorHAnsi"/>
              </w:rPr>
            </w:pPr>
          </w:p>
        </w:tc>
      </w:tr>
      <w:tr w:rsidR="002629AA" w14:paraId="23AD10A6" w14:textId="77777777" w:rsidTr="00055A28">
        <w:tc>
          <w:tcPr>
            <w:tcW w:w="2065" w:type="dxa"/>
            <w:vMerge/>
            <w:shd w:val="clear" w:color="auto" w:fill="D9E2F3" w:themeFill="accent1" w:themeFillTint="33"/>
          </w:tcPr>
          <w:p w14:paraId="2A4DC2BE" w14:textId="77777777" w:rsidR="002629AA" w:rsidRDefault="002629AA" w:rsidP="00055A28">
            <w:pPr>
              <w:autoSpaceDE w:val="0"/>
              <w:autoSpaceDN w:val="0"/>
              <w:adjustRightInd w:val="0"/>
              <w:rPr>
                <w:rFonts w:cstheme="minorHAnsi"/>
                <w:color w:val="000000"/>
              </w:rPr>
            </w:pPr>
          </w:p>
        </w:tc>
        <w:tc>
          <w:tcPr>
            <w:tcW w:w="1890" w:type="dxa"/>
          </w:tcPr>
          <w:p w14:paraId="0434B1F8" w14:textId="2EAD39E0" w:rsidR="002629AA" w:rsidRDefault="002629AA" w:rsidP="00055A28">
            <w:pPr>
              <w:autoSpaceDE w:val="0"/>
              <w:autoSpaceDN w:val="0"/>
              <w:adjustRightInd w:val="0"/>
              <w:rPr>
                <w:rFonts w:cstheme="minorHAnsi"/>
                <w:color w:val="000000"/>
              </w:rPr>
            </w:pPr>
            <w:r>
              <w:rPr>
                <w:rFonts w:cstheme="minorHAnsi"/>
                <w:color w:val="000000"/>
              </w:rPr>
              <w:t>Building Trust and Networks</w:t>
            </w:r>
          </w:p>
        </w:tc>
        <w:tc>
          <w:tcPr>
            <w:tcW w:w="5395" w:type="dxa"/>
          </w:tcPr>
          <w:p w14:paraId="46922203" w14:textId="35F5EF59" w:rsidR="002629AA" w:rsidRDefault="002629AA" w:rsidP="00A73DB4">
            <w:pPr>
              <w:pStyle w:val="ListParagraph"/>
              <w:numPr>
                <w:ilvl w:val="0"/>
                <w:numId w:val="17"/>
              </w:numPr>
              <w:contextualSpacing w:val="0"/>
              <w:rPr>
                <w:rFonts w:eastAsia="Times New Roman" w:cstheme="minorHAnsi"/>
              </w:rPr>
            </w:pPr>
            <w:r w:rsidRPr="00D83273">
              <w:rPr>
                <w:rFonts w:eastAsia="Times New Roman" w:cstheme="minorHAnsi"/>
              </w:rPr>
              <w:t>Behaves and expresses oneself in a constructive, open, and honest manner.</w:t>
            </w:r>
          </w:p>
          <w:p w14:paraId="36EC0C9D" w14:textId="18ACB05D" w:rsidR="002629AA" w:rsidRDefault="002629AA" w:rsidP="00A73DB4">
            <w:pPr>
              <w:pStyle w:val="ListParagraph"/>
              <w:numPr>
                <w:ilvl w:val="0"/>
                <w:numId w:val="17"/>
              </w:numPr>
              <w:contextualSpacing w:val="0"/>
              <w:rPr>
                <w:rFonts w:eastAsia="Times New Roman" w:cstheme="minorHAnsi"/>
              </w:rPr>
            </w:pPr>
            <w:r w:rsidRPr="00D83273">
              <w:rPr>
                <w:rFonts w:eastAsia="Times New Roman" w:cstheme="minorHAnsi"/>
              </w:rPr>
              <w:t>Promotes the good name of Pathways to Care both within the office space, and at external engagements.</w:t>
            </w:r>
          </w:p>
          <w:p w14:paraId="6F2FAC8C" w14:textId="77777777" w:rsidR="002629AA" w:rsidRDefault="002629AA" w:rsidP="00C436F4">
            <w:pPr>
              <w:numPr>
                <w:ilvl w:val="0"/>
                <w:numId w:val="17"/>
              </w:numPr>
              <w:rPr>
                <w:rFonts w:eastAsia="Times New Roman" w:cstheme="minorHAnsi"/>
              </w:rPr>
            </w:pPr>
            <w:r w:rsidRPr="00D83273">
              <w:rPr>
                <w:rFonts w:eastAsia="Times New Roman" w:cstheme="minorHAnsi"/>
              </w:rPr>
              <w:t xml:space="preserve">Generates new revenue opportunities through direct referrals of new participants. </w:t>
            </w:r>
          </w:p>
          <w:p w14:paraId="12FB6070" w14:textId="77777777" w:rsidR="002629AA" w:rsidRPr="00C436F4" w:rsidRDefault="002629AA" w:rsidP="00C436F4">
            <w:pPr>
              <w:numPr>
                <w:ilvl w:val="0"/>
                <w:numId w:val="17"/>
              </w:numPr>
              <w:rPr>
                <w:rFonts w:eastAsia="Times New Roman" w:cstheme="minorHAnsi"/>
              </w:rPr>
            </w:pPr>
            <w:r w:rsidRPr="00D83273">
              <w:rPr>
                <w:rFonts w:eastAsia="Times New Roman" w:cstheme="minorHAnsi"/>
              </w:rPr>
              <w:t xml:space="preserve">Maintains professional, supportive and </w:t>
            </w:r>
            <w:proofErr w:type="spellStart"/>
            <w:r w:rsidRPr="00D83273">
              <w:rPr>
                <w:rFonts w:eastAsia="Times New Roman" w:cstheme="minorHAnsi"/>
              </w:rPr>
              <w:t>boundarie</w:t>
            </w:r>
            <w:r>
              <w:rPr>
                <w:rFonts w:eastAsia="Times New Roman" w:cstheme="minorHAnsi"/>
              </w:rPr>
              <w:t>d</w:t>
            </w:r>
            <w:proofErr w:type="spellEnd"/>
            <w:r>
              <w:rPr>
                <w:rFonts w:eastAsia="Times New Roman" w:cstheme="minorHAnsi"/>
              </w:rPr>
              <w:t xml:space="preserve"> </w:t>
            </w:r>
            <w:r w:rsidRPr="00D83273">
              <w:rPr>
                <w:rFonts w:eastAsia="Times New Roman" w:cstheme="minorHAnsi"/>
              </w:rPr>
              <w:t>relationships with participants</w:t>
            </w:r>
            <w:r>
              <w:rPr>
                <w:rFonts w:eastAsia="Times New Roman" w:cstheme="minorHAnsi"/>
              </w:rPr>
              <w:t xml:space="preserve"> and external providers.</w:t>
            </w:r>
          </w:p>
          <w:p w14:paraId="50AF599D" w14:textId="77777777" w:rsidR="002629AA" w:rsidRPr="00D83273" w:rsidRDefault="002629AA" w:rsidP="00A73DB4">
            <w:pPr>
              <w:pStyle w:val="ListParagraph"/>
              <w:numPr>
                <w:ilvl w:val="0"/>
                <w:numId w:val="17"/>
              </w:numPr>
              <w:contextualSpacing w:val="0"/>
              <w:rPr>
                <w:rFonts w:eastAsia="Times New Roman" w:cstheme="minorHAnsi"/>
              </w:rPr>
            </w:pPr>
            <w:r w:rsidRPr="00D83273">
              <w:rPr>
                <w:rFonts w:eastAsia="Times New Roman" w:cstheme="minorHAnsi"/>
              </w:rPr>
              <w:t>Arrives and departs work on time, in a manner that upholds the employment contract.</w:t>
            </w:r>
          </w:p>
          <w:p w14:paraId="720DCD53" w14:textId="77777777" w:rsidR="002629AA" w:rsidRPr="00D83273" w:rsidRDefault="002629AA" w:rsidP="00A73DB4">
            <w:pPr>
              <w:pStyle w:val="ListParagraph"/>
              <w:numPr>
                <w:ilvl w:val="0"/>
                <w:numId w:val="17"/>
              </w:numPr>
              <w:contextualSpacing w:val="0"/>
              <w:rPr>
                <w:rFonts w:eastAsia="Times New Roman" w:cstheme="minorHAnsi"/>
              </w:rPr>
            </w:pPr>
            <w:r w:rsidRPr="00D83273">
              <w:rPr>
                <w:rFonts w:eastAsia="Times New Roman" w:cstheme="minorHAnsi"/>
              </w:rPr>
              <w:t xml:space="preserve">Updates outlook calendar effectively to safeguard whereabouts in line with OHS policies, and has </w:t>
            </w:r>
            <w:r>
              <w:rPr>
                <w:rFonts w:eastAsia="Times New Roman" w:cstheme="minorHAnsi"/>
              </w:rPr>
              <w:t>l</w:t>
            </w:r>
            <w:r w:rsidRPr="00D83273">
              <w:rPr>
                <w:rFonts w:eastAsia="Times New Roman" w:cstheme="minorHAnsi"/>
              </w:rPr>
              <w:t xml:space="preserve">ocation shared with management via work mobile.  </w:t>
            </w:r>
          </w:p>
          <w:p w14:paraId="168ADB92" w14:textId="77777777" w:rsidR="002629AA" w:rsidRPr="00D83273" w:rsidRDefault="002629AA" w:rsidP="00A73DB4">
            <w:pPr>
              <w:pStyle w:val="ListParagraph"/>
              <w:numPr>
                <w:ilvl w:val="0"/>
                <w:numId w:val="17"/>
              </w:numPr>
              <w:contextualSpacing w:val="0"/>
              <w:rPr>
                <w:rFonts w:eastAsia="Times New Roman" w:cstheme="minorHAnsi"/>
              </w:rPr>
            </w:pPr>
            <w:r w:rsidRPr="00D83273">
              <w:rPr>
                <w:rFonts w:eastAsia="Times New Roman" w:cstheme="minorHAnsi"/>
              </w:rPr>
              <w:t>Shares accurate information with colleagues and external stakeholders.</w:t>
            </w:r>
          </w:p>
          <w:p w14:paraId="749C1A62" w14:textId="0FBAE21B" w:rsidR="002629AA" w:rsidRPr="001253B2" w:rsidRDefault="002629AA" w:rsidP="001253B2">
            <w:pPr>
              <w:pStyle w:val="ListParagraph"/>
              <w:numPr>
                <w:ilvl w:val="0"/>
                <w:numId w:val="17"/>
              </w:numPr>
              <w:contextualSpacing w:val="0"/>
              <w:rPr>
                <w:rFonts w:eastAsia="Times New Roman" w:cstheme="minorHAnsi"/>
              </w:rPr>
            </w:pPr>
            <w:r w:rsidRPr="00D83273">
              <w:rPr>
                <w:rFonts w:eastAsia="Times New Roman" w:cstheme="minorHAnsi"/>
              </w:rPr>
              <w:t xml:space="preserve">Participates in activities to build professional </w:t>
            </w:r>
            <w:r w:rsidR="001253B2">
              <w:rPr>
                <w:rFonts w:eastAsia="Times New Roman" w:cstheme="minorHAnsi"/>
              </w:rPr>
              <w:t>reputation through Case Conferences and other stakeholder engagements.</w:t>
            </w:r>
            <w:r w:rsidRPr="00D83273">
              <w:rPr>
                <w:rFonts w:eastAsia="Times New Roman" w:cstheme="minorHAnsi"/>
              </w:rPr>
              <w:t xml:space="preserve"> </w:t>
            </w:r>
          </w:p>
        </w:tc>
      </w:tr>
      <w:tr w:rsidR="001253B2" w14:paraId="47A093EE" w14:textId="77777777" w:rsidTr="001871AA">
        <w:trPr>
          <w:trHeight w:val="1646"/>
        </w:trPr>
        <w:tc>
          <w:tcPr>
            <w:tcW w:w="2065" w:type="dxa"/>
            <w:shd w:val="clear" w:color="auto" w:fill="D9E2F3" w:themeFill="accent1" w:themeFillTint="33"/>
          </w:tcPr>
          <w:p w14:paraId="00A62A23" w14:textId="7B2118F1" w:rsidR="001253B2" w:rsidRPr="0094206B" w:rsidRDefault="001253B2" w:rsidP="00055A28">
            <w:pPr>
              <w:autoSpaceDE w:val="0"/>
              <w:autoSpaceDN w:val="0"/>
              <w:adjustRightInd w:val="0"/>
              <w:rPr>
                <w:rFonts w:cstheme="minorHAnsi"/>
                <w:b/>
                <w:bCs/>
                <w:color w:val="000000"/>
              </w:rPr>
            </w:pPr>
            <w:r>
              <w:rPr>
                <w:rFonts w:cstheme="minorHAnsi"/>
                <w:b/>
                <w:bCs/>
                <w:color w:val="000000"/>
              </w:rPr>
              <w:t>P</w:t>
            </w:r>
            <w:r w:rsidRPr="0094206B">
              <w:rPr>
                <w:rFonts w:cstheme="minorHAnsi"/>
                <w:b/>
                <w:bCs/>
                <w:color w:val="000000"/>
              </w:rPr>
              <w:t>ositive Working Relationships</w:t>
            </w:r>
          </w:p>
        </w:tc>
        <w:tc>
          <w:tcPr>
            <w:tcW w:w="1890" w:type="dxa"/>
          </w:tcPr>
          <w:p w14:paraId="01AB4461" w14:textId="2E56976B" w:rsidR="001253B2" w:rsidRDefault="001253B2" w:rsidP="00055A28">
            <w:pPr>
              <w:autoSpaceDE w:val="0"/>
              <w:autoSpaceDN w:val="0"/>
              <w:adjustRightInd w:val="0"/>
              <w:rPr>
                <w:rFonts w:cstheme="minorHAnsi"/>
                <w:color w:val="000000"/>
              </w:rPr>
            </w:pPr>
            <w:r>
              <w:rPr>
                <w:rFonts w:cstheme="minorHAnsi"/>
                <w:color w:val="000000"/>
              </w:rPr>
              <w:t>Taking Initiative</w:t>
            </w:r>
          </w:p>
        </w:tc>
        <w:tc>
          <w:tcPr>
            <w:tcW w:w="5395" w:type="dxa"/>
          </w:tcPr>
          <w:p w14:paraId="347EF9C0" w14:textId="77777777" w:rsidR="001253B2" w:rsidRPr="00D83273" w:rsidRDefault="001253B2" w:rsidP="00A73DB4">
            <w:pPr>
              <w:numPr>
                <w:ilvl w:val="0"/>
                <w:numId w:val="17"/>
              </w:numPr>
              <w:rPr>
                <w:rFonts w:eastAsia="Times New Roman" w:cstheme="minorHAnsi"/>
              </w:rPr>
            </w:pPr>
            <w:r w:rsidRPr="00D83273">
              <w:rPr>
                <w:rFonts w:eastAsia="Times New Roman" w:cstheme="minorHAnsi"/>
              </w:rPr>
              <w:t>Actively participates in State-Wide SC meeting</w:t>
            </w:r>
            <w:r>
              <w:rPr>
                <w:rFonts w:eastAsia="Times New Roman" w:cstheme="minorHAnsi"/>
              </w:rPr>
              <w:t>s and regional meetings</w:t>
            </w:r>
          </w:p>
          <w:p w14:paraId="064009E1" w14:textId="77777777" w:rsidR="001253B2" w:rsidRPr="00D83273" w:rsidRDefault="001253B2" w:rsidP="00A73DB4">
            <w:pPr>
              <w:numPr>
                <w:ilvl w:val="0"/>
                <w:numId w:val="17"/>
              </w:numPr>
              <w:rPr>
                <w:rFonts w:eastAsia="Times New Roman" w:cstheme="minorHAnsi"/>
              </w:rPr>
            </w:pPr>
            <w:r w:rsidRPr="00D83273">
              <w:rPr>
                <w:rFonts w:eastAsia="Times New Roman" w:cstheme="minorHAnsi"/>
              </w:rPr>
              <w:t xml:space="preserve">Accomplishes goals independently, with little need for prompting or additional supervision. </w:t>
            </w:r>
          </w:p>
          <w:p w14:paraId="415F5037" w14:textId="77777777" w:rsidR="001253B2" w:rsidRDefault="001253B2" w:rsidP="00A73DB4">
            <w:pPr>
              <w:numPr>
                <w:ilvl w:val="0"/>
                <w:numId w:val="17"/>
              </w:numPr>
              <w:rPr>
                <w:rFonts w:eastAsia="Times New Roman" w:cstheme="minorHAnsi"/>
              </w:rPr>
            </w:pPr>
            <w:r w:rsidRPr="00D83273">
              <w:rPr>
                <w:rFonts w:eastAsia="Times New Roman" w:cstheme="minorHAnsi"/>
              </w:rPr>
              <w:t xml:space="preserve">Takes ownership and accountability for own performance. </w:t>
            </w:r>
          </w:p>
          <w:p w14:paraId="156B120F" w14:textId="1E0C8320" w:rsidR="001253B2" w:rsidRPr="00D83273" w:rsidRDefault="001253B2" w:rsidP="00A73DB4">
            <w:pPr>
              <w:numPr>
                <w:ilvl w:val="0"/>
                <w:numId w:val="17"/>
              </w:numPr>
              <w:rPr>
                <w:rFonts w:eastAsia="Times New Roman" w:cstheme="minorHAnsi"/>
              </w:rPr>
            </w:pPr>
            <w:r>
              <w:rPr>
                <w:rFonts w:eastAsia="Times New Roman" w:cstheme="minorHAnsi"/>
              </w:rPr>
              <w:t>Maintains strict adherence to Pathways to Care flexible working policy.</w:t>
            </w:r>
          </w:p>
        </w:tc>
      </w:tr>
    </w:tbl>
    <w:p w14:paraId="5136C3D7" w14:textId="77777777" w:rsidR="00A73DB4" w:rsidRPr="003E20A4" w:rsidRDefault="00A73DB4" w:rsidP="00A73DB4">
      <w:pPr>
        <w:autoSpaceDE w:val="0"/>
        <w:autoSpaceDN w:val="0"/>
        <w:adjustRightInd w:val="0"/>
        <w:spacing w:after="0" w:line="240" w:lineRule="auto"/>
        <w:rPr>
          <w:rFonts w:cstheme="minorHAnsi"/>
          <w:color w:val="000000"/>
        </w:rPr>
      </w:pPr>
    </w:p>
    <w:p w14:paraId="07DB45FD" w14:textId="0C059CB8" w:rsidR="003E20A4" w:rsidRDefault="003E20A4" w:rsidP="003E20A4">
      <w:pPr>
        <w:autoSpaceDE w:val="0"/>
        <w:autoSpaceDN w:val="0"/>
        <w:adjustRightInd w:val="0"/>
        <w:spacing w:after="0" w:line="240" w:lineRule="auto"/>
        <w:rPr>
          <w:rFonts w:cstheme="minorHAnsi"/>
          <w:color w:val="000000"/>
        </w:rPr>
      </w:pPr>
    </w:p>
    <w:p w14:paraId="6A22776F" w14:textId="77777777" w:rsidR="008A1726" w:rsidRDefault="008A1726" w:rsidP="008A1726">
      <w:pPr>
        <w:pStyle w:val="Default"/>
        <w:rPr>
          <w:rFonts w:asciiTheme="minorHAnsi" w:hAnsiTheme="minorHAnsi" w:cstheme="minorHAnsi"/>
          <w:b/>
          <w:sz w:val="22"/>
          <w:szCs w:val="22"/>
        </w:rPr>
      </w:pPr>
      <w:r w:rsidRPr="001F36AA">
        <w:rPr>
          <w:rFonts w:asciiTheme="minorHAnsi" w:hAnsiTheme="minorHAnsi" w:cstheme="minorHAnsi"/>
          <w:b/>
          <w:sz w:val="22"/>
          <w:szCs w:val="22"/>
        </w:rPr>
        <w:t>Billable Hours Target:</w:t>
      </w:r>
    </w:p>
    <w:p w14:paraId="474CDA74" w14:textId="77777777" w:rsidR="008A1726" w:rsidRPr="004D2BA2" w:rsidRDefault="008A1726" w:rsidP="008A1726">
      <w:pPr>
        <w:pStyle w:val="Default"/>
        <w:rPr>
          <w:rFonts w:asciiTheme="minorHAnsi" w:hAnsiTheme="minorHAnsi" w:cstheme="minorHAnsi"/>
          <w:sz w:val="22"/>
          <w:szCs w:val="22"/>
        </w:rPr>
      </w:pPr>
      <w:r w:rsidRPr="004D2BA2">
        <w:rPr>
          <w:rFonts w:asciiTheme="minorHAnsi" w:hAnsiTheme="minorHAnsi" w:cstheme="minorHAnsi"/>
          <w:sz w:val="22"/>
          <w:szCs w:val="22"/>
        </w:rPr>
        <w:t>Full time worker – 38 hours per week</w:t>
      </w:r>
    </w:p>
    <w:p w14:paraId="6A657B04" w14:textId="77777777" w:rsidR="008A1726" w:rsidRPr="004D2BA2" w:rsidRDefault="008A1726" w:rsidP="008A1726">
      <w:pPr>
        <w:pStyle w:val="Default"/>
        <w:rPr>
          <w:rFonts w:asciiTheme="minorHAnsi" w:hAnsiTheme="minorHAnsi" w:cstheme="minorHAnsi"/>
          <w:sz w:val="22"/>
          <w:szCs w:val="22"/>
        </w:rPr>
      </w:pPr>
    </w:p>
    <w:p w14:paraId="522D315A" w14:textId="77777777" w:rsidR="008A1726" w:rsidRPr="004D2BA2" w:rsidRDefault="008A1726" w:rsidP="008A1726">
      <w:pPr>
        <w:pStyle w:val="Default"/>
        <w:rPr>
          <w:rFonts w:asciiTheme="minorHAnsi" w:hAnsiTheme="minorHAnsi" w:cstheme="minorHAnsi"/>
          <w:sz w:val="22"/>
          <w:szCs w:val="22"/>
        </w:rPr>
      </w:pPr>
      <w:r w:rsidRPr="004D2BA2">
        <w:rPr>
          <w:rFonts w:asciiTheme="minorHAnsi" w:hAnsiTheme="minorHAnsi" w:cstheme="minorHAnsi"/>
          <w:sz w:val="22"/>
          <w:szCs w:val="22"/>
        </w:rPr>
        <w:t xml:space="preserve">Billable hours are </w:t>
      </w:r>
      <w:r>
        <w:rPr>
          <w:rFonts w:asciiTheme="minorHAnsi" w:hAnsiTheme="minorHAnsi" w:cstheme="minorHAnsi"/>
          <w:sz w:val="22"/>
          <w:szCs w:val="22"/>
        </w:rPr>
        <w:t>the hours</w:t>
      </w:r>
      <w:r w:rsidRPr="004D2BA2">
        <w:rPr>
          <w:rFonts w:asciiTheme="minorHAnsi" w:hAnsiTheme="minorHAnsi" w:cstheme="minorHAnsi"/>
          <w:sz w:val="22"/>
          <w:szCs w:val="22"/>
        </w:rPr>
        <w:t xml:space="preserve"> required for you </w:t>
      </w:r>
      <w:r>
        <w:rPr>
          <w:rFonts w:asciiTheme="minorHAnsi" w:hAnsiTheme="minorHAnsi" w:cstheme="minorHAnsi"/>
          <w:sz w:val="22"/>
          <w:szCs w:val="22"/>
        </w:rPr>
        <w:t>deliver service</w:t>
      </w:r>
      <w:r w:rsidRPr="004D2BA2">
        <w:rPr>
          <w:rFonts w:asciiTheme="minorHAnsi" w:hAnsiTheme="minorHAnsi" w:cstheme="minorHAnsi"/>
          <w:sz w:val="22"/>
          <w:szCs w:val="22"/>
        </w:rPr>
        <w:t xml:space="preserve"> in order to keep your role viable. Your billable hours target is the available hours that you are paid, minus 4 weeks Annual leave, 10 days available Personal/Carers leave and 10 Public Holiday days.</w:t>
      </w:r>
    </w:p>
    <w:p w14:paraId="2ACB2EED" w14:textId="77777777" w:rsidR="008A1726" w:rsidRDefault="008A1726" w:rsidP="008A1726">
      <w:pPr>
        <w:pStyle w:val="Default"/>
        <w:rPr>
          <w:rFonts w:asciiTheme="minorHAnsi" w:hAnsiTheme="minorHAnsi" w:cstheme="minorHAnsi"/>
          <w:b/>
          <w:sz w:val="22"/>
          <w:szCs w:val="22"/>
        </w:rPr>
      </w:pPr>
    </w:p>
    <w:p w14:paraId="4FD3FCC8" w14:textId="77777777" w:rsidR="008A1726" w:rsidRDefault="008A1726" w:rsidP="008A1726">
      <w:pPr>
        <w:pStyle w:val="Default"/>
        <w:rPr>
          <w:rFonts w:asciiTheme="minorHAnsi" w:hAnsiTheme="minorHAnsi" w:cstheme="minorHAnsi"/>
          <w:b/>
          <w:sz w:val="22"/>
          <w:szCs w:val="22"/>
        </w:rPr>
      </w:pPr>
      <w:r>
        <w:rPr>
          <w:rFonts w:asciiTheme="minorHAnsi" w:hAnsiTheme="minorHAnsi" w:cstheme="minorHAnsi"/>
          <w:b/>
          <w:sz w:val="22"/>
          <w:szCs w:val="22"/>
        </w:rPr>
        <w:t>Based on your employment type, your hours are as follows:</w:t>
      </w:r>
    </w:p>
    <w:p w14:paraId="129577D3" w14:textId="77777777" w:rsidR="008A1726" w:rsidRDefault="008A1726" w:rsidP="008A1726">
      <w:pPr>
        <w:pStyle w:val="Defaul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527"/>
        <w:gridCol w:w="1561"/>
        <w:gridCol w:w="1591"/>
        <w:gridCol w:w="1631"/>
        <w:gridCol w:w="1628"/>
        <w:gridCol w:w="1412"/>
      </w:tblGrid>
      <w:tr w:rsidR="008A1726" w14:paraId="298C6ED6" w14:textId="77777777" w:rsidTr="00055A28">
        <w:tc>
          <w:tcPr>
            <w:tcW w:w="1527" w:type="dxa"/>
          </w:tcPr>
          <w:p w14:paraId="0B22941A" w14:textId="77777777" w:rsidR="008A1726" w:rsidRDefault="008A1726" w:rsidP="00055A28">
            <w:pPr>
              <w:pStyle w:val="Default"/>
              <w:rPr>
                <w:rFonts w:asciiTheme="minorHAnsi" w:hAnsiTheme="minorHAnsi" w:cstheme="minorHAnsi"/>
                <w:b/>
                <w:sz w:val="22"/>
                <w:szCs w:val="22"/>
              </w:rPr>
            </w:pPr>
          </w:p>
        </w:tc>
        <w:tc>
          <w:tcPr>
            <w:tcW w:w="1561" w:type="dxa"/>
          </w:tcPr>
          <w:p w14:paraId="489850A2"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Hours paid</w:t>
            </w:r>
          </w:p>
        </w:tc>
        <w:tc>
          <w:tcPr>
            <w:tcW w:w="1591" w:type="dxa"/>
          </w:tcPr>
          <w:p w14:paraId="165A309E"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Annual Leave</w:t>
            </w:r>
          </w:p>
        </w:tc>
        <w:tc>
          <w:tcPr>
            <w:tcW w:w="1631" w:type="dxa"/>
          </w:tcPr>
          <w:p w14:paraId="1D07E81B"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Personal Carers leave</w:t>
            </w:r>
          </w:p>
        </w:tc>
        <w:tc>
          <w:tcPr>
            <w:tcW w:w="1628" w:type="dxa"/>
          </w:tcPr>
          <w:p w14:paraId="53600AF4"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Public Holidays</w:t>
            </w:r>
          </w:p>
        </w:tc>
        <w:tc>
          <w:tcPr>
            <w:tcW w:w="1412" w:type="dxa"/>
          </w:tcPr>
          <w:p w14:paraId="269126DB"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Available Billable hours</w:t>
            </w:r>
          </w:p>
        </w:tc>
      </w:tr>
      <w:tr w:rsidR="008A1726" w14:paraId="3EDD18B6" w14:textId="77777777" w:rsidTr="00055A28">
        <w:tc>
          <w:tcPr>
            <w:tcW w:w="1527" w:type="dxa"/>
          </w:tcPr>
          <w:p w14:paraId="0B84C1F7"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Full time</w:t>
            </w:r>
          </w:p>
        </w:tc>
        <w:tc>
          <w:tcPr>
            <w:tcW w:w="1561" w:type="dxa"/>
          </w:tcPr>
          <w:p w14:paraId="7F11D95F"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1976</w:t>
            </w:r>
          </w:p>
        </w:tc>
        <w:tc>
          <w:tcPr>
            <w:tcW w:w="1591" w:type="dxa"/>
          </w:tcPr>
          <w:p w14:paraId="6ACD1E00"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152</w:t>
            </w:r>
          </w:p>
        </w:tc>
        <w:tc>
          <w:tcPr>
            <w:tcW w:w="1631" w:type="dxa"/>
          </w:tcPr>
          <w:p w14:paraId="5A04D604"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76</w:t>
            </w:r>
          </w:p>
        </w:tc>
        <w:tc>
          <w:tcPr>
            <w:tcW w:w="1628" w:type="dxa"/>
          </w:tcPr>
          <w:p w14:paraId="06934693"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76</w:t>
            </w:r>
          </w:p>
        </w:tc>
        <w:tc>
          <w:tcPr>
            <w:tcW w:w="1412" w:type="dxa"/>
          </w:tcPr>
          <w:p w14:paraId="5B073730" w14:textId="77777777" w:rsidR="008A1726" w:rsidRDefault="008A1726" w:rsidP="00055A28">
            <w:pPr>
              <w:pStyle w:val="Default"/>
              <w:rPr>
                <w:rFonts w:asciiTheme="minorHAnsi" w:hAnsiTheme="minorHAnsi" w:cstheme="minorHAnsi"/>
                <w:b/>
                <w:sz w:val="22"/>
                <w:szCs w:val="22"/>
              </w:rPr>
            </w:pPr>
            <w:r>
              <w:rPr>
                <w:rFonts w:asciiTheme="minorHAnsi" w:hAnsiTheme="minorHAnsi" w:cstheme="minorHAnsi"/>
                <w:b/>
                <w:sz w:val="22"/>
                <w:szCs w:val="22"/>
              </w:rPr>
              <w:t>1672</w:t>
            </w:r>
          </w:p>
        </w:tc>
      </w:tr>
    </w:tbl>
    <w:p w14:paraId="4309C3A7" w14:textId="77777777" w:rsidR="008A1726" w:rsidRPr="001F36AA" w:rsidRDefault="008A1726" w:rsidP="008A1726">
      <w:pPr>
        <w:pStyle w:val="Default"/>
        <w:rPr>
          <w:rFonts w:asciiTheme="minorHAnsi" w:hAnsiTheme="minorHAnsi" w:cstheme="minorHAnsi"/>
          <w:b/>
          <w:sz w:val="22"/>
          <w:szCs w:val="22"/>
        </w:rPr>
      </w:pPr>
    </w:p>
    <w:p w14:paraId="68A3A6B9" w14:textId="77777777" w:rsidR="008A1726" w:rsidRPr="001F36AA" w:rsidRDefault="008A1726" w:rsidP="008A1726">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116"/>
        <w:gridCol w:w="3117"/>
        <w:gridCol w:w="3117"/>
      </w:tblGrid>
      <w:tr w:rsidR="008A1726" w14:paraId="0155FB2E" w14:textId="77777777" w:rsidTr="00055A28">
        <w:tc>
          <w:tcPr>
            <w:tcW w:w="3116" w:type="dxa"/>
          </w:tcPr>
          <w:p w14:paraId="693FE4DD" w14:textId="77777777" w:rsidR="008A1726" w:rsidRDefault="008A1726" w:rsidP="00055A28">
            <w:pPr>
              <w:autoSpaceDE w:val="0"/>
              <w:autoSpaceDN w:val="0"/>
              <w:adjustRightInd w:val="0"/>
              <w:rPr>
                <w:rFonts w:cstheme="minorHAnsi"/>
                <w:b/>
                <w:color w:val="000000"/>
              </w:rPr>
            </w:pPr>
          </w:p>
        </w:tc>
        <w:tc>
          <w:tcPr>
            <w:tcW w:w="3117" w:type="dxa"/>
          </w:tcPr>
          <w:p w14:paraId="533BF46F" w14:textId="4CDF34D2" w:rsidR="008A1726" w:rsidRDefault="008A1726" w:rsidP="00055A28">
            <w:pPr>
              <w:autoSpaceDE w:val="0"/>
              <w:autoSpaceDN w:val="0"/>
              <w:adjustRightInd w:val="0"/>
              <w:rPr>
                <w:rFonts w:cstheme="minorHAnsi"/>
                <w:b/>
                <w:color w:val="000000"/>
              </w:rPr>
            </w:pPr>
            <w:r>
              <w:rPr>
                <w:rFonts w:cstheme="minorHAnsi"/>
                <w:b/>
                <w:color w:val="000000"/>
              </w:rPr>
              <w:t xml:space="preserve">First </w:t>
            </w:r>
            <w:r w:rsidR="001B0F6F">
              <w:rPr>
                <w:rFonts w:cstheme="minorHAnsi"/>
                <w:b/>
                <w:color w:val="000000"/>
              </w:rPr>
              <w:t>3</w:t>
            </w:r>
            <w:r>
              <w:rPr>
                <w:rFonts w:cstheme="minorHAnsi"/>
                <w:b/>
                <w:color w:val="000000"/>
              </w:rPr>
              <w:t xml:space="preserve"> months</w:t>
            </w:r>
          </w:p>
        </w:tc>
        <w:tc>
          <w:tcPr>
            <w:tcW w:w="3117" w:type="dxa"/>
          </w:tcPr>
          <w:p w14:paraId="3E1D33B8" w14:textId="0148A727" w:rsidR="008A1726" w:rsidRDefault="008A1726" w:rsidP="00055A28">
            <w:pPr>
              <w:autoSpaceDE w:val="0"/>
              <w:autoSpaceDN w:val="0"/>
              <w:adjustRightInd w:val="0"/>
              <w:rPr>
                <w:rFonts w:cstheme="minorHAnsi"/>
                <w:b/>
                <w:color w:val="000000"/>
              </w:rPr>
            </w:pPr>
            <w:r>
              <w:rPr>
                <w:rFonts w:cstheme="minorHAnsi"/>
                <w:b/>
                <w:color w:val="000000"/>
              </w:rPr>
              <w:t xml:space="preserve">After </w:t>
            </w:r>
            <w:r w:rsidR="001B0F6F">
              <w:rPr>
                <w:rFonts w:cstheme="minorHAnsi"/>
                <w:b/>
                <w:color w:val="000000"/>
              </w:rPr>
              <w:t>3</w:t>
            </w:r>
            <w:r>
              <w:rPr>
                <w:rFonts w:cstheme="minorHAnsi"/>
                <w:b/>
                <w:color w:val="000000"/>
              </w:rPr>
              <w:t xml:space="preserve"> months </w:t>
            </w:r>
          </w:p>
        </w:tc>
      </w:tr>
      <w:tr w:rsidR="008A1726" w14:paraId="1A7796AF" w14:textId="77777777" w:rsidTr="00055A28">
        <w:tc>
          <w:tcPr>
            <w:tcW w:w="3116" w:type="dxa"/>
          </w:tcPr>
          <w:p w14:paraId="5A91C550" w14:textId="77777777" w:rsidR="008A1726" w:rsidRDefault="008A1726" w:rsidP="00055A28">
            <w:pPr>
              <w:autoSpaceDE w:val="0"/>
              <w:autoSpaceDN w:val="0"/>
              <w:adjustRightInd w:val="0"/>
              <w:rPr>
                <w:rFonts w:cstheme="minorHAnsi"/>
                <w:b/>
                <w:color w:val="000000"/>
              </w:rPr>
            </w:pPr>
            <w:r>
              <w:rPr>
                <w:rFonts w:cstheme="minorHAnsi"/>
                <w:b/>
                <w:color w:val="000000"/>
              </w:rPr>
              <w:t>Billable Hours Minimum Target</w:t>
            </w:r>
          </w:p>
        </w:tc>
        <w:tc>
          <w:tcPr>
            <w:tcW w:w="3117" w:type="dxa"/>
          </w:tcPr>
          <w:p w14:paraId="254B7158" w14:textId="77777777" w:rsidR="008A1726" w:rsidRDefault="008A1726" w:rsidP="00055A28">
            <w:pPr>
              <w:autoSpaceDE w:val="0"/>
              <w:autoSpaceDN w:val="0"/>
              <w:adjustRightInd w:val="0"/>
              <w:rPr>
                <w:rFonts w:cstheme="minorHAnsi"/>
                <w:b/>
                <w:color w:val="000000"/>
              </w:rPr>
            </w:pPr>
            <w:r>
              <w:rPr>
                <w:rFonts w:cstheme="minorHAnsi"/>
                <w:b/>
                <w:color w:val="000000"/>
              </w:rPr>
              <w:t>50%</w:t>
            </w:r>
          </w:p>
        </w:tc>
        <w:tc>
          <w:tcPr>
            <w:tcW w:w="3117" w:type="dxa"/>
          </w:tcPr>
          <w:p w14:paraId="5A4815C2" w14:textId="44EF7E2B" w:rsidR="008A1726" w:rsidRDefault="008A1726" w:rsidP="00055A28">
            <w:pPr>
              <w:autoSpaceDE w:val="0"/>
              <w:autoSpaceDN w:val="0"/>
              <w:adjustRightInd w:val="0"/>
              <w:rPr>
                <w:rFonts w:cstheme="minorHAnsi"/>
                <w:b/>
                <w:color w:val="000000"/>
              </w:rPr>
            </w:pPr>
            <w:r>
              <w:rPr>
                <w:rFonts w:cstheme="minorHAnsi"/>
                <w:b/>
                <w:color w:val="000000"/>
              </w:rPr>
              <w:t xml:space="preserve">Minimum </w:t>
            </w:r>
            <w:r w:rsidR="003021F0">
              <w:rPr>
                <w:rFonts w:cstheme="minorHAnsi"/>
                <w:b/>
                <w:color w:val="000000"/>
              </w:rPr>
              <w:t>70</w:t>
            </w:r>
            <w:r>
              <w:rPr>
                <w:rFonts w:cstheme="minorHAnsi"/>
                <w:b/>
                <w:color w:val="000000"/>
              </w:rPr>
              <w:t>%</w:t>
            </w:r>
          </w:p>
        </w:tc>
      </w:tr>
      <w:tr w:rsidR="008A1726" w14:paraId="7CF92DB0" w14:textId="77777777" w:rsidTr="00055A28">
        <w:tc>
          <w:tcPr>
            <w:tcW w:w="3116" w:type="dxa"/>
          </w:tcPr>
          <w:p w14:paraId="78DC7DEE" w14:textId="77777777" w:rsidR="008A1726" w:rsidRDefault="008A1726" w:rsidP="00055A28">
            <w:pPr>
              <w:autoSpaceDE w:val="0"/>
              <w:autoSpaceDN w:val="0"/>
              <w:adjustRightInd w:val="0"/>
              <w:rPr>
                <w:rFonts w:cstheme="minorHAnsi"/>
                <w:b/>
                <w:color w:val="000000"/>
              </w:rPr>
            </w:pPr>
            <w:r>
              <w:rPr>
                <w:rFonts w:cstheme="minorHAnsi"/>
                <w:b/>
                <w:color w:val="000000"/>
              </w:rPr>
              <w:t>Of 38 hours</w:t>
            </w:r>
          </w:p>
        </w:tc>
        <w:tc>
          <w:tcPr>
            <w:tcW w:w="3117" w:type="dxa"/>
          </w:tcPr>
          <w:p w14:paraId="3DD802CE" w14:textId="32E6C07D" w:rsidR="008A1726" w:rsidRDefault="00D068E8" w:rsidP="00055A28">
            <w:pPr>
              <w:autoSpaceDE w:val="0"/>
              <w:autoSpaceDN w:val="0"/>
              <w:adjustRightInd w:val="0"/>
              <w:rPr>
                <w:rFonts w:cstheme="minorHAnsi"/>
                <w:b/>
                <w:color w:val="000000"/>
              </w:rPr>
            </w:pPr>
            <w:r>
              <w:rPr>
                <w:rFonts w:cstheme="minorHAnsi"/>
                <w:b/>
                <w:color w:val="000000"/>
              </w:rPr>
              <w:t xml:space="preserve">19 </w:t>
            </w:r>
            <w:r w:rsidR="008A1726">
              <w:rPr>
                <w:rFonts w:cstheme="minorHAnsi"/>
                <w:b/>
                <w:color w:val="000000"/>
              </w:rPr>
              <w:t>hours to be billed</w:t>
            </w:r>
          </w:p>
        </w:tc>
        <w:tc>
          <w:tcPr>
            <w:tcW w:w="3117" w:type="dxa"/>
          </w:tcPr>
          <w:p w14:paraId="22F06FAE" w14:textId="62F7EA0B" w:rsidR="008A1726" w:rsidRDefault="00D068E8" w:rsidP="00055A28">
            <w:pPr>
              <w:autoSpaceDE w:val="0"/>
              <w:autoSpaceDN w:val="0"/>
              <w:adjustRightInd w:val="0"/>
              <w:rPr>
                <w:rFonts w:cstheme="minorHAnsi"/>
                <w:b/>
                <w:color w:val="000000"/>
              </w:rPr>
            </w:pPr>
            <w:r>
              <w:rPr>
                <w:rFonts w:cstheme="minorHAnsi"/>
                <w:b/>
                <w:color w:val="000000"/>
              </w:rPr>
              <w:t>26.6 h</w:t>
            </w:r>
            <w:r w:rsidR="008A1726">
              <w:rPr>
                <w:rFonts w:cstheme="minorHAnsi"/>
                <w:b/>
                <w:color w:val="000000"/>
              </w:rPr>
              <w:t>ours to be billed</w:t>
            </w:r>
          </w:p>
        </w:tc>
      </w:tr>
    </w:tbl>
    <w:p w14:paraId="4E59E7E7" w14:textId="77777777" w:rsidR="008A1726" w:rsidRPr="003E20A4" w:rsidRDefault="008A1726" w:rsidP="003E20A4">
      <w:pPr>
        <w:autoSpaceDE w:val="0"/>
        <w:autoSpaceDN w:val="0"/>
        <w:adjustRightInd w:val="0"/>
        <w:spacing w:after="0" w:line="240" w:lineRule="auto"/>
        <w:rPr>
          <w:rFonts w:cstheme="minorHAnsi"/>
          <w:color w:val="000000"/>
        </w:rPr>
      </w:pPr>
    </w:p>
    <w:sectPr w:rsidR="008A1726" w:rsidRPr="003E20A4" w:rsidSect="00B84C2B">
      <w:headerReference w:type="default" r:id="rId7"/>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3DB36" w14:textId="77777777" w:rsidR="00831FFB" w:rsidRDefault="00831FFB" w:rsidP="00B84C2B">
      <w:pPr>
        <w:spacing w:after="0" w:line="240" w:lineRule="auto"/>
      </w:pPr>
      <w:r>
        <w:separator/>
      </w:r>
    </w:p>
  </w:endnote>
  <w:endnote w:type="continuationSeparator" w:id="0">
    <w:p w14:paraId="79CC017D" w14:textId="77777777" w:rsidR="00831FFB" w:rsidRDefault="00831FFB" w:rsidP="00B8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5511645"/>
      <w:docPartObj>
        <w:docPartGallery w:val="Page Numbers (Bottom of Page)"/>
        <w:docPartUnique/>
      </w:docPartObj>
    </w:sdtPr>
    <w:sdtEndPr>
      <w:rPr>
        <w:noProof/>
      </w:rPr>
    </w:sdtEndPr>
    <w:sdtContent>
      <w:p w14:paraId="30B0FF13" w14:textId="77777777" w:rsidR="00B84C2B" w:rsidRDefault="00B84C2B">
        <w:pPr>
          <w:pStyle w:val="Footer"/>
          <w:jc w:val="right"/>
        </w:pPr>
      </w:p>
      <w:p w14:paraId="285D2810" w14:textId="7F6AADE5" w:rsidR="00B84C2B" w:rsidRDefault="00B84C2B" w:rsidP="00B84C2B">
        <w:pPr>
          <w:pStyle w:val="Footer"/>
        </w:pPr>
        <w:r>
          <w:t>PTC-PD-</w:t>
        </w:r>
        <w:r w:rsidR="007D30AA">
          <w:t xml:space="preserve"> </w:t>
        </w:r>
        <w:r w:rsidR="00001921">
          <w:t xml:space="preserve">Clinical Lead V1.0 </w:t>
        </w:r>
      </w:p>
      <w:p w14:paraId="602DA200" w14:textId="3388F649" w:rsidR="00B84C2B" w:rsidRDefault="00B84C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DBD96F" w14:textId="74F7C42B" w:rsidR="00B84C2B" w:rsidRDefault="00B84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C12B5" w14:textId="77777777" w:rsidR="00831FFB" w:rsidRDefault="00831FFB" w:rsidP="00B84C2B">
      <w:pPr>
        <w:spacing w:after="0" w:line="240" w:lineRule="auto"/>
      </w:pPr>
      <w:r>
        <w:separator/>
      </w:r>
    </w:p>
  </w:footnote>
  <w:footnote w:type="continuationSeparator" w:id="0">
    <w:p w14:paraId="285DF8D5" w14:textId="77777777" w:rsidR="00831FFB" w:rsidRDefault="00831FFB" w:rsidP="00B84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56C4E" w14:textId="77B7EC31" w:rsidR="00B84C2B" w:rsidRDefault="00B84C2B">
    <w:pPr>
      <w:pStyle w:val="Header"/>
    </w:pPr>
    <w:r>
      <w:rPr>
        <w:noProof/>
        <w:sz w:val="32"/>
        <w:szCs w:val="32"/>
      </w:rPr>
      <w:drawing>
        <wp:anchor distT="0" distB="0" distL="114300" distR="114300" simplePos="0" relativeHeight="251659264" behindDoc="0" locked="0" layoutInCell="1" allowOverlap="1" wp14:anchorId="65ED1BCB" wp14:editId="0F251063">
          <wp:simplePos x="0" y="0"/>
          <wp:positionH relativeFrom="margin">
            <wp:posOffset>4815840</wp:posOffset>
          </wp:positionH>
          <wp:positionV relativeFrom="margin">
            <wp:posOffset>-666115</wp:posOffset>
          </wp:positionV>
          <wp:extent cx="1675765" cy="494030"/>
          <wp:effectExtent l="0" t="0" r="635"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5765" cy="4940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707B"/>
    <w:multiLevelType w:val="hybridMultilevel"/>
    <w:tmpl w:val="D69C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679F4"/>
    <w:multiLevelType w:val="hybridMultilevel"/>
    <w:tmpl w:val="9106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50E86"/>
    <w:multiLevelType w:val="hybridMultilevel"/>
    <w:tmpl w:val="B3C2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F5F7D"/>
    <w:multiLevelType w:val="hybridMultilevel"/>
    <w:tmpl w:val="638C9148"/>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35819"/>
    <w:multiLevelType w:val="hybridMultilevel"/>
    <w:tmpl w:val="16AE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5375"/>
    <w:multiLevelType w:val="hybridMultilevel"/>
    <w:tmpl w:val="E4345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335C65"/>
    <w:multiLevelType w:val="hybridMultilevel"/>
    <w:tmpl w:val="C20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239CC"/>
    <w:multiLevelType w:val="hybridMultilevel"/>
    <w:tmpl w:val="FCBA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049BB"/>
    <w:multiLevelType w:val="hybridMultilevel"/>
    <w:tmpl w:val="BAFAA3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7692657"/>
    <w:multiLevelType w:val="hybridMultilevel"/>
    <w:tmpl w:val="4046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B43"/>
    <w:multiLevelType w:val="hybridMultilevel"/>
    <w:tmpl w:val="AA8A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05138"/>
    <w:multiLevelType w:val="hybridMultilevel"/>
    <w:tmpl w:val="2F66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02E19"/>
    <w:multiLevelType w:val="hybridMultilevel"/>
    <w:tmpl w:val="6A82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47103"/>
    <w:multiLevelType w:val="hybridMultilevel"/>
    <w:tmpl w:val="BBDA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56B51"/>
    <w:multiLevelType w:val="hybridMultilevel"/>
    <w:tmpl w:val="82F6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313E9"/>
    <w:multiLevelType w:val="hybridMultilevel"/>
    <w:tmpl w:val="DBC6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A4EFE"/>
    <w:multiLevelType w:val="hybridMultilevel"/>
    <w:tmpl w:val="7B167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0"/>
  </w:num>
  <w:num w:numId="5">
    <w:abstractNumId w:val="2"/>
  </w:num>
  <w:num w:numId="6">
    <w:abstractNumId w:val="6"/>
  </w:num>
  <w:num w:numId="7">
    <w:abstractNumId w:val="13"/>
  </w:num>
  <w:num w:numId="8">
    <w:abstractNumId w:val="11"/>
  </w:num>
  <w:num w:numId="9">
    <w:abstractNumId w:val="10"/>
  </w:num>
  <w:num w:numId="10">
    <w:abstractNumId w:val="14"/>
  </w:num>
  <w:num w:numId="11">
    <w:abstractNumId w:val="12"/>
  </w:num>
  <w:num w:numId="12">
    <w:abstractNumId w:val="7"/>
  </w:num>
  <w:num w:numId="13">
    <w:abstractNumId w:val="1"/>
  </w:num>
  <w:num w:numId="14">
    <w:abstractNumId w:val="8"/>
  </w:num>
  <w:num w:numId="15">
    <w:abstractNumId w:val="16"/>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13"/>
    <w:rsid w:val="00001921"/>
    <w:rsid w:val="00027C07"/>
    <w:rsid w:val="00047055"/>
    <w:rsid w:val="00053596"/>
    <w:rsid w:val="000940E4"/>
    <w:rsid w:val="000B32F4"/>
    <w:rsid w:val="000E4A82"/>
    <w:rsid w:val="000E5D60"/>
    <w:rsid w:val="001030EC"/>
    <w:rsid w:val="00124A42"/>
    <w:rsid w:val="001253B2"/>
    <w:rsid w:val="001B0F6F"/>
    <w:rsid w:val="001C519A"/>
    <w:rsid w:val="001E32C1"/>
    <w:rsid w:val="001F36AA"/>
    <w:rsid w:val="0022761F"/>
    <w:rsid w:val="002629AA"/>
    <w:rsid w:val="0027175D"/>
    <w:rsid w:val="003021F0"/>
    <w:rsid w:val="00335A6F"/>
    <w:rsid w:val="003B64A7"/>
    <w:rsid w:val="003E20A4"/>
    <w:rsid w:val="00421084"/>
    <w:rsid w:val="004B49D1"/>
    <w:rsid w:val="004D2BA2"/>
    <w:rsid w:val="004F3B41"/>
    <w:rsid w:val="004F5926"/>
    <w:rsid w:val="005329BE"/>
    <w:rsid w:val="005376BC"/>
    <w:rsid w:val="005A4B2A"/>
    <w:rsid w:val="005C06CC"/>
    <w:rsid w:val="005D3860"/>
    <w:rsid w:val="005D3AD8"/>
    <w:rsid w:val="006021F3"/>
    <w:rsid w:val="006502FC"/>
    <w:rsid w:val="006D0065"/>
    <w:rsid w:val="007223E6"/>
    <w:rsid w:val="00751313"/>
    <w:rsid w:val="007648F7"/>
    <w:rsid w:val="007819F9"/>
    <w:rsid w:val="007D30AA"/>
    <w:rsid w:val="00831FFB"/>
    <w:rsid w:val="0087414C"/>
    <w:rsid w:val="008A1726"/>
    <w:rsid w:val="008C6373"/>
    <w:rsid w:val="00930496"/>
    <w:rsid w:val="00983518"/>
    <w:rsid w:val="009A40F5"/>
    <w:rsid w:val="00A16D02"/>
    <w:rsid w:val="00A22790"/>
    <w:rsid w:val="00A302BE"/>
    <w:rsid w:val="00A73DB4"/>
    <w:rsid w:val="00AD6AC6"/>
    <w:rsid w:val="00B020B1"/>
    <w:rsid w:val="00B20CB7"/>
    <w:rsid w:val="00B33795"/>
    <w:rsid w:val="00B47DA7"/>
    <w:rsid w:val="00B637E5"/>
    <w:rsid w:val="00B7499B"/>
    <w:rsid w:val="00B84C2B"/>
    <w:rsid w:val="00B902C7"/>
    <w:rsid w:val="00BB04D1"/>
    <w:rsid w:val="00C436F4"/>
    <w:rsid w:val="00C73247"/>
    <w:rsid w:val="00C82FFB"/>
    <w:rsid w:val="00CD20C9"/>
    <w:rsid w:val="00CD261B"/>
    <w:rsid w:val="00D068E8"/>
    <w:rsid w:val="00D4600A"/>
    <w:rsid w:val="00DB3DB1"/>
    <w:rsid w:val="00DC2DC9"/>
    <w:rsid w:val="00E31F7E"/>
    <w:rsid w:val="00E82BB9"/>
    <w:rsid w:val="00EB1FC4"/>
    <w:rsid w:val="00EE1E22"/>
    <w:rsid w:val="00EE40DD"/>
    <w:rsid w:val="00EF62DC"/>
    <w:rsid w:val="00F117FC"/>
    <w:rsid w:val="00F2526B"/>
    <w:rsid w:val="00F77D1D"/>
    <w:rsid w:val="00F862AA"/>
    <w:rsid w:val="00FA3E61"/>
    <w:rsid w:val="00FA4657"/>
    <w:rsid w:val="00FC7A56"/>
    <w:rsid w:val="00FE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754C15"/>
  <w15:chartTrackingRefBased/>
  <w15:docId w15:val="{82EDEB8F-8238-4808-9BB7-734503F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313"/>
    <w:pPr>
      <w:ind w:left="720"/>
      <w:contextualSpacing/>
    </w:pPr>
  </w:style>
  <w:style w:type="paragraph" w:customStyle="1" w:styleId="Default">
    <w:name w:val="Default"/>
    <w:rsid w:val="003E20A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F3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C2B"/>
  </w:style>
  <w:style w:type="paragraph" w:styleId="Footer">
    <w:name w:val="footer"/>
    <w:basedOn w:val="Normal"/>
    <w:link w:val="FooterChar"/>
    <w:uiPriority w:val="99"/>
    <w:unhideWhenUsed/>
    <w:rsid w:val="00B84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665740">
      <w:bodyDiv w:val="1"/>
      <w:marLeft w:val="0"/>
      <w:marRight w:val="0"/>
      <w:marTop w:val="0"/>
      <w:marBottom w:val="0"/>
      <w:divBdr>
        <w:top w:val="none" w:sz="0" w:space="0" w:color="auto"/>
        <w:left w:val="none" w:sz="0" w:space="0" w:color="auto"/>
        <w:bottom w:val="none" w:sz="0" w:space="0" w:color="auto"/>
        <w:right w:val="none" w:sz="0" w:space="0" w:color="auto"/>
      </w:divBdr>
    </w:div>
    <w:div w:id="1459495545">
      <w:bodyDiv w:val="1"/>
      <w:marLeft w:val="0"/>
      <w:marRight w:val="0"/>
      <w:marTop w:val="0"/>
      <w:marBottom w:val="0"/>
      <w:divBdr>
        <w:top w:val="none" w:sz="0" w:space="0" w:color="auto"/>
        <w:left w:val="none" w:sz="0" w:space="0" w:color="auto"/>
        <w:bottom w:val="none" w:sz="0" w:space="0" w:color="auto"/>
        <w:right w:val="none" w:sz="0" w:space="0" w:color="auto"/>
      </w:divBdr>
    </w:div>
    <w:div w:id="203903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Forsberg</dc:creator>
  <cp:keywords/>
  <dc:description/>
  <cp:lastModifiedBy>Jane Forsberg</cp:lastModifiedBy>
  <cp:revision>2</cp:revision>
  <dcterms:created xsi:type="dcterms:W3CDTF">2020-12-10T05:27:00Z</dcterms:created>
  <dcterms:modified xsi:type="dcterms:W3CDTF">2020-12-10T05:27:00Z</dcterms:modified>
</cp:coreProperties>
</file>