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B29AD" w14:textId="77777777" w:rsidR="00117634" w:rsidRDefault="00117634" w:rsidP="0066370C">
      <w:pPr>
        <w:pStyle w:val="Title2"/>
        <w:spacing w:before="240" w:after="120"/>
        <w:jc w:val="both"/>
      </w:pPr>
      <w:bookmarkStart w:id="0" w:name="_GoBack"/>
      <w:bookmarkEnd w:id="0"/>
      <w:r>
        <w:t>Job description</w:t>
      </w:r>
    </w:p>
    <w:p w14:paraId="79AA9102" w14:textId="7472F842" w:rsidR="006F20EE" w:rsidRPr="006F20EE" w:rsidRDefault="00A86699" w:rsidP="006F20EE">
      <w:pPr>
        <w:pStyle w:val="Heading1"/>
        <w:spacing w:before="240"/>
        <w:jc w:val="both"/>
      </w:pPr>
      <w:r>
        <w:t xml:space="preserve">Senior </w:t>
      </w:r>
      <w:r w:rsidR="00C00AF9">
        <w:t>Policy and Advocacy Officer</w:t>
      </w:r>
    </w:p>
    <w:tbl>
      <w:tblPr>
        <w:tblStyle w:val="TableGridLight2"/>
        <w:tblW w:w="9464" w:type="dxa"/>
        <w:tblLook w:val="04A0" w:firstRow="1" w:lastRow="0" w:firstColumn="1" w:lastColumn="0" w:noHBand="0" w:noVBand="1"/>
      </w:tblPr>
      <w:tblGrid>
        <w:gridCol w:w="2518"/>
        <w:gridCol w:w="6946"/>
      </w:tblGrid>
      <w:tr w:rsidR="00EC0400" w14:paraId="0BFB0923" w14:textId="77777777" w:rsidTr="0066370C">
        <w:tc>
          <w:tcPr>
            <w:tcW w:w="9464" w:type="dxa"/>
            <w:gridSpan w:val="2"/>
          </w:tcPr>
          <w:p w14:paraId="1F89FEA7" w14:textId="77777777" w:rsidR="00EC0400" w:rsidRDefault="00EC0400" w:rsidP="00EC0400">
            <w:pPr>
              <w:jc w:val="both"/>
            </w:pPr>
            <w:r>
              <w:t>Position details</w:t>
            </w:r>
          </w:p>
        </w:tc>
      </w:tr>
      <w:tr w:rsidR="00EC0400" w14:paraId="1075BCA8" w14:textId="77777777" w:rsidTr="0066370C">
        <w:tc>
          <w:tcPr>
            <w:tcW w:w="2518" w:type="dxa"/>
          </w:tcPr>
          <w:p w14:paraId="389A4D98" w14:textId="77777777" w:rsidR="00EC0400" w:rsidRDefault="00EC0400" w:rsidP="00EC0400">
            <w:pPr>
              <w:jc w:val="both"/>
            </w:pPr>
            <w:r>
              <w:t>Classification</w:t>
            </w:r>
          </w:p>
        </w:tc>
        <w:tc>
          <w:tcPr>
            <w:tcW w:w="6946" w:type="dxa"/>
          </w:tcPr>
          <w:p w14:paraId="129F9DCF" w14:textId="77777777" w:rsidR="00EC0400" w:rsidRDefault="00E34FF4" w:rsidP="005662D8">
            <w:pPr>
              <w:jc w:val="both"/>
            </w:pPr>
            <w:r>
              <w:t xml:space="preserve">VPS  </w:t>
            </w:r>
            <w:r w:rsidR="00A86699">
              <w:t>5</w:t>
            </w:r>
          </w:p>
        </w:tc>
      </w:tr>
      <w:tr w:rsidR="00EC0400" w14:paraId="796BAA36" w14:textId="77777777" w:rsidTr="0066370C">
        <w:tc>
          <w:tcPr>
            <w:tcW w:w="2518" w:type="dxa"/>
          </w:tcPr>
          <w:p w14:paraId="0FD34430" w14:textId="77777777" w:rsidR="00EC0400" w:rsidRDefault="00EC0400" w:rsidP="00EC0400">
            <w:pPr>
              <w:jc w:val="both"/>
            </w:pPr>
            <w:r>
              <w:t>Salary range</w:t>
            </w:r>
          </w:p>
        </w:tc>
        <w:tc>
          <w:tcPr>
            <w:tcW w:w="6946" w:type="dxa"/>
          </w:tcPr>
          <w:p w14:paraId="63A0E52D" w14:textId="79937496" w:rsidR="008E3863" w:rsidRDefault="008E3863" w:rsidP="008E3863">
            <w:pPr>
              <w:rPr>
                <w:lang w:eastAsia="en-AU"/>
              </w:rPr>
            </w:pPr>
            <w:r>
              <w:rPr>
                <w:lang w:eastAsia="en-AU"/>
              </w:rPr>
              <w:t xml:space="preserve">Range 1 </w:t>
            </w:r>
            <w:r w:rsidR="002C141E">
              <w:rPr>
                <w:lang w:eastAsia="en-AU"/>
              </w:rPr>
              <w:t>-</w:t>
            </w:r>
            <w:r>
              <w:rPr>
                <w:lang w:eastAsia="en-AU"/>
              </w:rPr>
              <w:t xml:space="preserve"> $101,120 - $111,734</w:t>
            </w:r>
          </w:p>
          <w:p w14:paraId="08672E66" w14:textId="28EC96FB" w:rsidR="00E34FF4" w:rsidRDefault="008E3863" w:rsidP="008E3863">
            <w:r>
              <w:rPr>
                <w:lang w:eastAsia="en-AU"/>
              </w:rPr>
              <w:t xml:space="preserve">Range 2 </w:t>
            </w:r>
            <w:r w:rsidR="002C141E">
              <w:rPr>
                <w:lang w:eastAsia="en-AU"/>
              </w:rPr>
              <w:t>-</w:t>
            </w:r>
            <w:r>
              <w:rPr>
                <w:lang w:eastAsia="en-AU"/>
              </w:rPr>
              <w:t xml:space="preserve"> $111,736 - $122,348</w:t>
            </w:r>
            <w:r w:rsidR="00227E88">
              <w:t xml:space="preserve"> per annum + superannuation</w:t>
            </w:r>
          </w:p>
        </w:tc>
      </w:tr>
      <w:tr w:rsidR="00EC0400" w14:paraId="70C6119E" w14:textId="77777777" w:rsidTr="0066370C">
        <w:tc>
          <w:tcPr>
            <w:tcW w:w="2518" w:type="dxa"/>
          </w:tcPr>
          <w:p w14:paraId="326DCB6F" w14:textId="77777777" w:rsidR="00EC0400" w:rsidRDefault="00EC0400" w:rsidP="00EC0400">
            <w:pPr>
              <w:jc w:val="both"/>
            </w:pPr>
            <w:r>
              <w:t>Position number</w:t>
            </w:r>
          </w:p>
        </w:tc>
        <w:tc>
          <w:tcPr>
            <w:tcW w:w="6946" w:type="dxa"/>
          </w:tcPr>
          <w:p w14:paraId="392237DE" w14:textId="77777777" w:rsidR="00EC0400" w:rsidRDefault="00EC0400" w:rsidP="005662D8">
            <w:pPr>
              <w:jc w:val="both"/>
            </w:pPr>
            <w:r w:rsidRPr="00854F9A">
              <w:t>CCYP</w:t>
            </w:r>
            <w:r w:rsidR="00C80BD7">
              <w:t xml:space="preserve"> </w:t>
            </w:r>
            <w:r w:rsidR="000862B5">
              <w:t>295006</w:t>
            </w:r>
          </w:p>
        </w:tc>
      </w:tr>
      <w:tr w:rsidR="00EC0400" w14:paraId="51B25DB2" w14:textId="77777777" w:rsidTr="0066370C">
        <w:tc>
          <w:tcPr>
            <w:tcW w:w="2518" w:type="dxa"/>
          </w:tcPr>
          <w:p w14:paraId="799ECFA8" w14:textId="77777777" w:rsidR="00EC0400" w:rsidRDefault="00EC0400" w:rsidP="00EC0400">
            <w:pPr>
              <w:jc w:val="both"/>
            </w:pPr>
            <w:r>
              <w:t>Work location</w:t>
            </w:r>
          </w:p>
        </w:tc>
        <w:tc>
          <w:tcPr>
            <w:tcW w:w="6946" w:type="dxa"/>
          </w:tcPr>
          <w:p w14:paraId="5C916A92" w14:textId="3E677A8E" w:rsidR="00EC0400" w:rsidRDefault="00EC0400" w:rsidP="00EC0400">
            <w:pPr>
              <w:jc w:val="both"/>
            </w:pPr>
            <w:r>
              <w:t>Level 18, 570 Bourke St, Melbourne (</w:t>
            </w:r>
            <w:r w:rsidR="00CA2D83">
              <w:t xml:space="preserve">occasional </w:t>
            </w:r>
            <w:r>
              <w:t xml:space="preserve">travel </w:t>
            </w:r>
            <w:r w:rsidR="00CA2D83">
              <w:t xml:space="preserve">across regional </w:t>
            </w:r>
            <w:r>
              <w:t>Victoria may be required)</w:t>
            </w:r>
          </w:p>
        </w:tc>
      </w:tr>
      <w:tr w:rsidR="00EC0400" w14:paraId="0C3C6CCF" w14:textId="77777777" w:rsidTr="0066370C">
        <w:tc>
          <w:tcPr>
            <w:tcW w:w="2518" w:type="dxa"/>
          </w:tcPr>
          <w:p w14:paraId="42C15CC4" w14:textId="77777777" w:rsidR="00EC0400" w:rsidRDefault="00EC0400" w:rsidP="00EC0400">
            <w:pPr>
              <w:jc w:val="both"/>
            </w:pPr>
            <w:r>
              <w:t>Employment type</w:t>
            </w:r>
          </w:p>
        </w:tc>
        <w:tc>
          <w:tcPr>
            <w:tcW w:w="6946" w:type="dxa"/>
          </w:tcPr>
          <w:p w14:paraId="0F10A2A6" w14:textId="77777777" w:rsidR="00EC0400" w:rsidRDefault="006F20EE" w:rsidP="00E34FF4">
            <w:pPr>
              <w:jc w:val="both"/>
            </w:pPr>
            <w:r>
              <w:t>Full time ongoing</w:t>
            </w:r>
          </w:p>
        </w:tc>
      </w:tr>
      <w:tr w:rsidR="00EC0400" w14:paraId="7A178DDE" w14:textId="77777777" w:rsidTr="0066370C">
        <w:tc>
          <w:tcPr>
            <w:tcW w:w="2518" w:type="dxa"/>
          </w:tcPr>
          <w:p w14:paraId="05270503" w14:textId="77777777" w:rsidR="00EC0400" w:rsidRDefault="00EC0400" w:rsidP="00EC0400">
            <w:pPr>
              <w:jc w:val="both"/>
            </w:pPr>
            <w:r>
              <w:t>Position reports to</w:t>
            </w:r>
          </w:p>
        </w:tc>
        <w:tc>
          <w:tcPr>
            <w:tcW w:w="6946" w:type="dxa"/>
          </w:tcPr>
          <w:p w14:paraId="44F80654" w14:textId="22D57454" w:rsidR="00EC0400" w:rsidRDefault="00A86699" w:rsidP="005662D8">
            <w:pPr>
              <w:jc w:val="both"/>
            </w:pPr>
            <w:r>
              <w:t>Manager Koori Advisory &amp; Engagement</w:t>
            </w:r>
            <w:r w:rsidR="006F20EE">
              <w:t xml:space="preserve"> </w:t>
            </w:r>
          </w:p>
        </w:tc>
      </w:tr>
      <w:tr w:rsidR="00CC29F9" w14:paraId="1FCC3E96" w14:textId="77777777" w:rsidTr="0066370C">
        <w:tc>
          <w:tcPr>
            <w:tcW w:w="2518" w:type="dxa"/>
          </w:tcPr>
          <w:p w14:paraId="74AA772E" w14:textId="77777777" w:rsidR="00CC29F9" w:rsidRDefault="00CC29F9" w:rsidP="00EC0400">
            <w:pPr>
              <w:jc w:val="both"/>
            </w:pPr>
          </w:p>
        </w:tc>
        <w:tc>
          <w:tcPr>
            <w:tcW w:w="6946" w:type="dxa"/>
          </w:tcPr>
          <w:p w14:paraId="4AAB1187" w14:textId="77777777" w:rsidR="00CC29F9" w:rsidRPr="00CC29F9" w:rsidRDefault="00CC29F9" w:rsidP="00CC29F9">
            <w:pPr>
              <w:spacing w:before="1" w:line="230" w:lineRule="exact"/>
              <w:ind w:left="141" w:right="936"/>
              <w:jc w:val="both"/>
              <w:textAlignment w:val="baseline"/>
              <w:rPr>
                <w:rFonts w:eastAsia="Arial"/>
                <w:b/>
                <w:i/>
                <w:color w:val="000000"/>
                <w:sz w:val="20"/>
              </w:rPr>
            </w:pPr>
          </w:p>
        </w:tc>
      </w:tr>
    </w:tbl>
    <w:p w14:paraId="7989D276" w14:textId="1C5A2FF3" w:rsidR="001E01B3" w:rsidRPr="00BD01B4" w:rsidRDefault="001E01B3" w:rsidP="001E01B3">
      <w:pPr>
        <w:autoSpaceDE w:val="0"/>
        <w:autoSpaceDN w:val="0"/>
        <w:adjustRightInd w:val="0"/>
        <w:spacing w:before="240"/>
        <w:jc w:val="both"/>
      </w:pPr>
      <w:r w:rsidRPr="00BD01B4">
        <w:t xml:space="preserve">The Commission for Children and Young People (the Commission) strongly encourages people from </w:t>
      </w:r>
      <w:r w:rsidR="00D61471">
        <w:t>diverse</w:t>
      </w:r>
      <w:r w:rsidR="00D61471" w:rsidRPr="00BD01B4">
        <w:t xml:space="preserve"> </w:t>
      </w:r>
      <w:r w:rsidRPr="00BD01B4">
        <w:t xml:space="preserve">backgrounds </w:t>
      </w:r>
      <w:r w:rsidR="00D61471">
        <w:t xml:space="preserve">and personal experiences </w:t>
      </w:r>
      <w:r w:rsidRPr="00BD01B4">
        <w:t xml:space="preserve">to apply, </w:t>
      </w:r>
      <w:r w:rsidR="00D61471">
        <w:t xml:space="preserve">including </w:t>
      </w:r>
      <w:r w:rsidRPr="00BD01B4">
        <w:t>Aboriginal and</w:t>
      </w:r>
      <w:r w:rsidR="00D61471">
        <w:t>/or</w:t>
      </w:r>
      <w:r w:rsidRPr="00BD01B4">
        <w:t xml:space="preserve"> Torres Strait Islander people</w:t>
      </w:r>
      <w:r w:rsidR="00D61471">
        <w:t>s</w:t>
      </w:r>
      <w:r w:rsidRPr="00BD01B4">
        <w:t xml:space="preserve">, people from </w:t>
      </w:r>
      <w:r w:rsidR="00D61471">
        <w:t xml:space="preserve">culturally and linguistically diverse communities, </w:t>
      </w:r>
      <w:r w:rsidRPr="00BD01B4">
        <w:t>LGBT</w:t>
      </w:r>
      <w:r w:rsidR="00D61471">
        <w:t>Q</w:t>
      </w:r>
      <w:r w:rsidRPr="00BD01B4">
        <w:t>I</w:t>
      </w:r>
      <w:r w:rsidR="00D61471">
        <w:t>+</w:t>
      </w:r>
      <w:r w:rsidRPr="00BD01B4">
        <w:t xml:space="preserve"> and people </w:t>
      </w:r>
      <w:r w:rsidR="00D61471">
        <w:t xml:space="preserve">living </w:t>
      </w:r>
      <w:r w:rsidRPr="00BD01B4">
        <w:t xml:space="preserve">with disabilities. </w:t>
      </w:r>
    </w:p>
    <w:p w14:paraId="375BEE21" w14:textId="51E369AF" w:rsidR="00117634" w:rsidRDefault="001E01B3" w:rsidP="001E01B3">
      <w:pPr>
        <w:autoSpaceDE w:val="0"/>
        <w:autoSpaceDN w:val="0"/>
        <w:adjustRightInd w:val="0"/>
        <w:spacing w:before="240" w:after="240"/>
        <w:jc w:val="both"/>
      </w:pPr>
      <w:r w:rsidRPr="00BD01B4">
        <w:t xml:space="preserve">The Commission recognises that by creating a more diverse workforce that can engage more effectively with Aboriginal communities and integrates traditional Aboriginal knowledge and culture with contemporary practices, will deliver better outcomes for vulnerable children and young people. </w:t>
      </w:r>
    </w:p>
    <w:p w14:paraId="5CCB4C2A" w14:textId="77777777" w:rsidR="00117634" w:rsidRDefault="00117634" w:rsidP="0066370C">
      <w:pPr>
        <w:pStyle w:val="Heading2"/>
        <w:ind w:right="-292"/>
        <w:jc w:val="both"/>
      </w:pPr>
      <w:r>
        <w:t>Organisational Environment</w:t>
      </w:r>
    </w:p>
    <w:p w14:paraId="7E35E1D6" w14:textId="30525C75" w:rsidR="00117634" w:rsidRDefault="00117634" w:rsidP="0066370C">
      <w:pPr>
        <w:ind w:right="-292"/>
        <w:jc w:val="both"/>
      </w:pPr>
      <w:r>
        <w:t xml:space="preserve">The Commission is an independent statutory body that promotes improvement in policies and practices affecting the safety and wellbeing of Victorian children and young people. It has a particular focus on vulnerable children and young people. </w:t>
      </w:r>
    </w:p>
    <w:p w14:paraId="7425D53C" w14:textId="77777777" w:rsidR="00117634" w:rsidRDefault="00117634" w:rsidP="0066370C">
      <w:pPr>
        <w:ind w:right="-292"/>
        <w:jc w:val="both"/>
      </w:pPr>
      <w:r>
        <w:t>The Commission’s vision is that the rights of all children and young people in Victoria are recognised, respected and defended.</w:t>
      </w:r>
    </w:p>
    <w:p w14:paraId="6A7260CC" w14:textId="77777777" w:rsidR="00117634" w:rsidRDefault="00117634" w:rsidP="0066370C">
      <w:pPr>
        <w:ind w:right="-292"/>
        <w:jc w:val="both"/>
      </w:pPr>
      <w:r>
        <w:t>The Commission promotes the rights, safety and wellbeing of children and young people by:</w:t>
      </w:r>
    </w:p>
    <w:p w14:paraId="40F851A5" w14:textId="77777777" w:rsidR="00117634" w:rsidRDefault="00117634" w:rsidP="0066370C">
      <w:pPr>
        <w:pStyle w:val="BulletsIndent"/>
        <w:ind w:right="-292"/>
        <w:jc w:val="both"/>
      </w:pPr>
      <w:r>
        <w:t>Providing independent scrutiny and oversight of services for children and young people, particularly those in the out of home care, child protection and youth justice systems.</w:t>
      </w:r>
    </w:p>
    <w:p w14:paraId="1160F120" w14:textId="77777777" w:rsidR="00117634" w:rsidRDefault="00117634" w:rsidP="0066370C">
      <w:pPr>
        <w:pStyle w:val="BulletsIndent"/>
        <w:ind w:right="-292"/>
        <w:jc w:val="both"/>
      </w:pPr>
      <w:r>
        <w:t>Advocating for best practice policy, program and service responses to meet the needs of children and young people.</w:t>
      </w:r>
    </w:p>
    <w:p w14:paraId="4F0F055B" w14:textId="77777777" w:rsidR="00117634" w:rsidRDefault="00117634" w:rsidP="0066370C">
      <w:pPr>
        <w:pStyle w:val="BulletsIndent"/>
        <w:ind w:right="-292"/>
        <w:jc w:val="both"/>
      </w:pPr>
      <w:r>
        <w:t>Supporting and regulating organisations that work with children and young people to prevent abuse and make sure these organisations have child safe practices.</w:t>
      </w:r>
    </w:p>
    <w:p w14:paraId="0E4D5EC3" w14:textId="77777777" w:rsidR="00EC0031" w:rsidRDefault="00117634" w:rsidP="0066370C">
      <w:pPr>
        <w:pStyle w:val="BulletsIndent"/>
        <w:ind w:right="-292"/>
        <w:jc w:val="both"/>
      </w:pPr>
      <w:r>
        <w:lastRenderedPageBreak/>
        <w:t>Bringing the views and experiences of children and young people to the attention of government and the community.</w:t>
      </w:r>
    </w:p>
    <w:p w14:paraId="49390521" w14:textId="77777777" w:rsidR="00117634" w:rsidRDefault="00117634" w:rsidP="0066370C">
      <w:pPr>
        <w:pStyle w:val="Heading2"/>
        <w:ind w:right="-292"/>
      </w:pPr>
      <w:r>
        <w:t>Commitment to child safety</w:t>
      </w:r>
    </w:p>
    <w:p w14:paraId="2B8695DC" w14:textId="77777777" w:rsidR="003C4FC9" w:rsidRDefault="00117634" w:rsidP="0066370C">
      <w:pPr>
        <w:ind w:right="-292"/>
        <w:jc w:val="both"/>
      </w:pPr>
      <w:r>
        <w:t>The Commission is committed to providing a child safe and child friendly environment, where children and young people with whom we have contact are safe and feel safe, and able to actively participate in decisions that affect their lives.</w:t>
      </w:r>
    </w:p>
    <w:p w14:paraId="652FEEB6" w14:textId="77777777" w:rsidR="00B80F59" w:rsidRDefault="00B80F59" w:rsidP="00B80F59">
      <w:pPr>
        <w:spacing w:before="13" w:line="230" w:lineRule="exact"/>
        <w:ind w:right="72"/>
        <w:textAlignment w:val="baseline"/>
        <w:rPr>
          <w:rFonts w:eastAsia="Arial"/>
          <w:b/>
          <w:color w:val="000000"/>
          <w:sz w:val="20"/>
        </w:rPr>
      </w:pPr>
    </w:p>
    <w:p w14:paraId="7AE5BB7E" w14:textId="6AACE2B9" w:rsidR="00B80F59" w:rsidRPr="00B80F59" w:rsidRDefault="00B80F59" w:rsidP="00B80F59">
      <w:pPr>
        <w:ind w:right="-292"/>
        <w:jc w:val="both"/>
        <w:rPr>
          <w:rFonts w:eastAsiaTheme="majorEastAsia"/>
          <w:b/>
          <w:sz w:val="24"/>
          <w:szCs w:val="26"/>
        </w:rPr>
      </w:pPr>
      <w:r w:rsidRPr="00B80F59">
        <w:rPr>
          <w:rFonts w:eastAsiaTheme="majorEastAsia"/>
          <w:b/>
          <w:sz w:val="24"/>
          <w:szCs w:val="26"/>
        </w:rPr>
        <w:t>Koori Advisory and Engagement</w:t>
      </w:r>
      <w:r w:rsidR="008739D4">
        <w:rPr>
          <w:rFonts w:eastAsiaTheme="majorEastAsia"/>
          <w:b/>
          <w:sz w:val="24"/>
          <w:szCs w:val="26"/>
        </w:rPr>
        <w:t xml:space="preserve"> </w:t>
      </w:r>
    </w:p>
    <w:p w14:paraId="5A56C8E2" w14:textId="0257C9F9" w:rsidR="00B80F59" w:rsidRPr="00B80F59" w:rsidRDefault="00B80F59" w:rsidP="00B80F59">
      <w:pPr>
        <w:spacing w:before="126" w:line="230" w:lineRule="exact"/>
        <w:ind w:right="72"/>
        <w:jc w:val="both"/>
        <w:textAlignment w:val="baseline"/>
      </w:pPr>
      <w:r w:rsidRPr="00B80F59">
        <w:t xml:space="preserve">The Koori Advisory and Engagement </w:t>
      </w:r>
      <w:r w:rsidR="001D0D85">
        <w:t>team</w:t>
      </w:r>
      <w:r w:rsidR="001D0D85" w:rsidRPr="00B80F59">
        <w:t xml:space="preserve"> </w:t>
      </w:r>
      <w:r w:rsidRPr="00B80F59">
        <w:t xml:space="preserve">provide authoritative advice to the Commissioner for Aboriginal Children and Young People, the Principal Commissioner for Children and Young People and the Commission Leadership Team in relation to issues impacting </w:t>
      </w:r>
      <w:r w:rsidR="00D61471">
        <w:t>Aboriginal</w:t>
      </w:r>
      <w:r w:rsidRPr="00B80F59">
        <w:t xml:space="preserve"> children and young people. The team also works across the broader Commission to ensure </w:t>
      </w:r>
      <w:r w:rsidR="00D61471">
        <w:t>Aboriginal</w:t>
      </w:r>
      <w:r w:rsidRPr="00B80F59">
        <w:t xml:space="preserve"> issues and perspectives are represented when advocating for the safety and wellbeing of children and young people.</w:t>
      </w:r>
    </w:p>
    <w:p w14:paraId="4FA221EE" w14:textId="77777777" w:rsidR="008739D4" w:rsidRDefault="00B80F59" w:rsidP="00B80F59">
      <w:pPr>
        <w:ind w:right="-292"/>
        <w:jc w:val="both"/>
      </w:pPr>
      <w:r w:rsidRPr="00B80F59">
        <w:t xml:space="preserve">In addition to internal responsibilities, the team </w:t>
      </w:r>
      <w:r w:rsidR="00D61471">
        <w:t xml:space="preserve">identifies and creates opportunities for engagement with Aboriginal children and young people and communities to inform and guide the policy and advocacy direction of the Commission. </w:t>
      </w:r>
    </w:p>
    <w:p w14:paraId="231B66D8" w14:textId="564C7E9D" w:rsidR="001A67DF" w:rsidRPr="001A67DF" w:rsidRDefault="001A67DF" w:rsidP="00B80F59">
      <w:pPr>
        <w:ind w:right="-292"/>
        <w:jc w:val="both"/>
        <w:rPr>
          <w:rFonts w:eastAsiaTheme="majorEastAsia"/>
          <w:b/>
          <w:sz w:val="24"/>
          <w:szCs w:val="26"/>
        </w:rPr>
      </w:pPr>
      <w:r w:rsidRPr="001A67DF">
        <w:rPr>
          <w:rFonts w:eastAsiaTheme="majorEastAsia"/>
          <w:b/>
          <w:sz w:val="24"/>
          <w:szCs w:val="26"/>
        </w:rPr>
        <w:t>Job</w:t>
      </w:r>
      <w:r>
        <w:t xml:space="preserve"> </w:t>
      </w:r>
      <w:r w:rsidRPr="001A67DF">
        <w:rPr>
          <w:rFonts w:eastAsiaTheme="majorEastAsia"/>
          <w:b/>
          <w:sz w:val="24"/>
          <w:szCs w:val="26"/>
        </w:rPr>
        <w:t xml:space="preserve">summary </w:t>
      </w:r>
    </w:p>
    <w:p w14:paraId="6D453479" w14:textId="21CBF1DB" w:rsidR="000862B5" w:rsidRPr="000862B5" w:rsidRDefault="000862B5" w:rsidP="000862B5">
      <w:pPr>
        <w:spacing w:before="128" w:line="227" w:lineRule="exact"/>
        <w:jc w:val="both"/>
        <w:textAlignment w:val="baseline"/>
      </w:pPr>
      <w:r w:rsidRPr="000862B5">
        <w:t xml:space="preserve">Reporting to the Manager, Koori Advisory and Engagement, the Senior Adviser Aboriginal Children and Families is part of a small team that provides specialist advice on issues specific to </w:t>
      </w:r>
      <w:r w:rsidR="00D61471">
        <w:t>Aboriginal</w:t>
      </w:r>
      <w:r w:rsidRPr="000862B5">
        <w:t xml:space="preserve"> children and young people, with a focus on </w:t>
      </w:r>
      <w:r w:rsidR="00F16C6E">
        <w:t xml:space="preserve">those in contact or involved with child protection and out-of-home-care systems. </w:t>
      </w:r>
      <w:r w:rsidRPr="000862B5">
        <w:t xml:space="preserve">As a result, cultural awareness and proven ability to manage stakeholder relationships in </w:t>
      </w:r>
      <w:r w:rsidR="00D61471">
        <w:t>Aboriginal</w:t>
      </w:r>
      <w:r w:rsidRPr="000862B5">
        <w:t xml:space="preserve"> communities are a critical part of the role.</w:t>
      </w:r>
    </w:p>
    <w:p w14:paraId="12FAF527" w14:textId="3C9CE513" w:rsidR="002963CB" w:rsidRDefault="000862B5" w:rsidP="000862B5">
      <w:pPr>
        <w:spacing w:before="116" w:line="230" w:lineRule="exact"/>
        <w:ind w:right="72"/>
        <w:jc w:val="both"/>
        <w:textAlignment w:val="baseline"/>
        <w:rPr>
          <w:rFonts w:eastAsia="Arial"/>
          <w:color w:val="000000"/>
          <w:sz w:val="20"/>
        </w:rPr>
      </w:pPr>
      <w:r w:rsidRPr="000862B5">
        <w:t xml:space="preserve">The Senior Adviser will work collaboratively with other teams across the Commission, providing and promoting culturally specific insights into policy, practices and services affecting </w:t>
      </w:r>
      <w:r w:rsidR="00D61471">
        <w:t>Aboriginal</w:t>
      </w:r>
      <w:r w:rsidRPr="000862B5">
        <w:t xml:space="preserve"> children and young people. </w:t>
      </w:r>
    </w:p>
    <w:p w14:paraId="409BA1EC" w14:textId="77777777" w:rsidR="00117634" w:rsidRDefault="00117634" w:rsidP="0066370C">
      <w:pPr>
        <w:pStyle w:val="Heading2"/>
        <w:ind w:right="-292"/>
        <w:jc w:val="both"/>
      </w:pPr>
      <w:r>
        <w:t>Accountabilities</w:t>
      </w:r>
    </w:p>
    <w:p w14:paraId="6FBFDC68" w14:textId="681C6E4A" w:rsidR="002E6BA9" w:rsidRDefault="002E6BA9" w:rsidP="005662D8">
      <w:pPr>
        <w:pStyle w:val="NumberedListIndent"/>
      </w:pPr>
      <w:r>
        <w:t xml:space="preserve">Undertaking research and data analysis, and analysing complex policy development and service delivery issues to identify risks and trends impacting on the safety and wellbeing of </w:t>
      </w:r>
      <w:r w:rsidR="00D61471">
        <w:t>Aboriginal</w:t>
      </w:r>
      <w:r>
        <w:t xml:space="preserve"> children and young people</w:t>
      </w:r>
    </w:p>
    <w:p w14:paraId="25C00E36" w14:textId="61B9E5CF" w:rsidR="001D0D85" w:rsidRDefault="008E3863" w:rsidP="005662D8">
      <w:pPr>
        <w:pStyle w:val="NumberedListIndent"/>
      </w:pPr>
      <w:r>
        <w:t>Providing</w:t>
      </w:r>
      <w:r w:rsidR="001D0D85">
        <w:t xml:space="preserve"> timely and high quality advice on complex and sensitive policy issues and proposals and prepar</w:t>
      </w:r>
      <w:r>
        <w:t xml:space="preserve">ing and reviewing </w:t>
      </w:r>
      <w:r w:rsidR="001D0D85">
        <w:t xml:space="preserve">reports and briefings as required for the </w:t>
      </w:r>
      <w:r w:rsidR="00BE5F14">
        <w:t xml:space="preserve">Commissioner for Aboriginal Children and Young People, Senior </w:t>
      </w:r>
      <w:r w:rsidR="001D0D85">
        <w:t>Management Team and Manager, Koori Advisory and Engagement</w:t>
      </w:r>
    </w:p>
    <w:p w14:paraId="2E777133" w14:textId="0ECA3C30" w:rsidR="002E6BA9" w:rsidRDefault="002E6BA9" w:rsidP="005662D8">
      <w:pPr>
        <w:pStyle w:val="NumberedListIndent"/>
      </w:pPr>
      <w:r>
        <w:t xml:space="preserve">Providing advice, recommendations and policy options to address specific issues and risks that impact on </w:t>
      </w:r>
      <w:r w:rsidR="00D61471">
        <w:t>Aboriginal</w:t>
      </w:r>
      <w:r>
        <w:t xml:space="preserve"> children and young people, relevant to the strategic goals of the Commission</w:t>
      </w:r>
    </w:p>
    <w:p w14:paraId="373E8F43" w14:textId="7F73BFBF" w:rsidR="002E6BA9" w:rsidRDefault="002E6BA9" w:rsidP="005662D8">
      <w:pPr>
        <w:pStyle w:val="NumberedListIndent"/>
      </w:pPr>
      <w:r>
        <w:t xml:space="preserve">Representing the Commission with internal and external stakeholders, including initiating and maintaining relationships with the </w:t>
      </w:r>
      <w:r w:rsidR="00D61471">
        <w:t>Aboriginal</w:t>
      </w:r>
      <w:r>
        <w:t xml:space="preserve"> community and associated agencies</w:t>
      </w:r>
    </w:p>
    <w:p w14:paraId="760AE018" w14:textId="2C531CF4" w:rsidR="002E6BA9" w:rsidRDefault="002E6BA9" w:rsidP="005662D8">
      <w:pPr>
        <w:pStyle w:val="NumberedListIndent"/>
      </w:pPr>
      <w:r>
        <w:t xml:space="preserve">Using </w:t>
      </w:r>
      <w:r w:rsidR="00D61471">
        <w:t>Aboriginal</w:t>
      </w:r>
      <w:r>
        <w:t xml:space="preserve"> community perspectives to inform the production of Commission-produced reports, recommendations and briefings that impact the safety and wellbeing of </w:t>
      </w:r>
      <w:r w:rsidR="00D61471">
        <w:t>Aboriginal</w:t>
      </w:r>
      <w:r>
        <w:t xml:space="preserve"> children and young people</w:t>
      </w:r>
    </w:p>
    <w:p w14:paraId="1A43E1FF" w14:textId="77777777" w:rsidR="002E6BA9" w:rsidRDefault="002E6BA9" w:rsidP="005662D8">
      <w:pPr>
        <w:pStyle w:val="NumberedListIndent"/>
      </w:pPr>
      <w:r>
        <w:lastRenderedPageBreak/>
        <w:t>Working with complex and/or sensitive cases requiring negotiation, communication and interpersonal skills</w:t>
      </w:r>
    </w:p>
    <w:p w14:paraId="3941AF0E" w14:textId="7F25A572" w:rsidR="002E6BA9" w:rsidRDefault="002E6BA9" w:rsidP="005662D8">
      <w:pPr>
        <w:pStyle w:val="NumberedListIndent"/>
      </w:pPr>
      <w:r>
        <w:t>Supporting the Manager, Koori Advisory and Engagement to develop and implement cultural competency and sensitivity across the Commission</w:t>
      </w:r>
    </w:p>
    <w:p w14:paraId="4882D550" w14:textId="77777777" w:rsidR="001D0D85" w:rsidRDefault="001D0D85" w:rsidP="001D0D85">
      <w:pPr>
        <w:pStyle w:val="NumberedListIndent"/>
      </w:pPr>
      <w:r>
        <w:t>Supporting the development and implementation of an annual Koori Advisory and Engagement Unit plan</w:t>
      </w:r>
    </w:p>
    <w:p w14:paraId="5E3E30A2" w14:textId="77777777" w:rsidR="001D0D85" w:rsidRDefault="001D0D85" w:rsidP="001D0D85">
      <w:pPr>
        <w:pStyle w:val="NumberedListIndent"/>
      </w:pPr>
      <w:r>
        <w:t>Supporting implementation of the business goals of the Koori Advisory and Engagement Unit, leveraging expertise and perspectives of colleagues from all functions of the Commission</w:t>
      </w:r>
    </w:p>
    <w:p w14:paraId="42516B01" w14:textId="77777777" w:rsidR="001D0D85" w:rsidRPr="00AF1699" w:rsidRDefault="001D0D85" w:rsidP="003C7E82">
      <w:pPr>
        <w:pStyle w:val="NumberedListIndent"/>
        <w:numPr>
          <w:ilvl w:val="0"/>
          <w:numId w:val="0"/>
        </w:numPr>
        <w:ind w:left="720" w:hanging="210"/>
      </w:pPr>
    </w:p>
    <w:p w14:paraId="2B8C040E" w14:textId="77777777" w:rsidR="00117634" w:rsidRDefault="00117634" w:rsidP="00EC0400">
      <w:pPr>
        <w:pStyle w:val="Heading2"/>
        <w:jc w:val="both"/>
      </w:pPr>
      <w:r>
        <w:t>Key selection criteria</w:t>
      </w:r>
    </w:p>
    <w:tbl>
      <w:tblPr>
        <w:tblStyle w:val="TableGridLight2"/>
        <w:tblW w:w="9464" w:type="dxa"/>
        <w:tblLook w:val="04A0" w:firstRow="1" w:lastRow="0" w:firstColumn="1" w:lastColumn="0" w:noHBand="0" w:noVBand="1"/>
      </w:tblPr>
      <w:tblGrid>
        <w:gridCol w:w="2093"/>
        <w:gridCol w:w="7371"/>
      </w:tblGrid>
      <w:tr w:rsidR="00117634" w14:paraId="58D960B9" w14:textId="77777777" w:rsidTr="0066370C">
        <w:tc>
          <w:tcPr>
            <w:tcW w:w="2093" w:type="dxa"/>
          </w:tcPr>
          <w:p w14:paraId="35845CA9" w14:textId="77777777" w:rsidR="00117634" w:rsidRPr="00EC0031" w:rsidRDefault="00EC0400" w:rsidP="00EC0031">
            <w:pPr>
              <w:pStyle w:val="TableTextBold"/>
              <w:spacing w:before="120" w:after="120"/>
              <w:rPr>
                <w:b w:val="0"/>
              </w:rPr>
            </w:pPr>
            <w:r>
              <w:t>Knowledge and skills</w:t>
            </w:r>
          </w:p>
        </w:tc>
        <w:tc>
          <w:tcPr>
            <w:tcW w:w="7371" w:type="dxa"/>
          </w:tcPr>
          <w:p w14:paraId="31E3957D" w14:textId="77777777" w:rsidR="00B66E9F" w:rsidRPr="00964112" w:rsidRDefault="002E6BA9" w:rsidP="00B66E9F">
            <w:pPr>
              <w:pStyle w:val="Heading3"/>
              <w:rPr>
                <w:rFonts w:eastAsia="Yu Gothic Light"/>
              </w:rPr>
            </w:pPr>
            <w:r>
              <w:rPr>
                <w:rFonts w:eastAsia="Yu Gothic Light"/>
              </w:rPr>
              <w:t>Written Communication</w:t>
            </w:r>
          </w:p>
          <w:p w14:paraId="02EAAAF0" w14:textId="77777777" w:rsidR="00374824" w:rsidRDefault="002E6BA9" w:rsidP="00374824">
            <w:pPr>
              <w:pStyle w:val="BulletsIndent"/>
              <w:rPr>
                <w:rFonts w:eastAsia="Yu Gothic Light"/>
              </w:rPr>
            </w:pPr>
            <w:r>
              <w:rPr>
                <w:rFonts w:eastAsia="Yu Gothic Light"/>
              </w:rPr>
              <w:t>Prepares complex briefs, letters, emails and reports using clear, concise and grammatically correct language</w:t>
            </w:r>
          </w:p>
          <w:p w14:paraId="7FAC7A72" w14:textId="77777777" w:rsidR="002E6BA9" w:rsidRDefault="002E6BA9" w:rsidP="00374824">
            <w:pPr>
              <w:pStyle w:val="BulletsIndent"/>
              <w:rPr>
                <w:rFonts w:eastAsia="Yu Gothic Light"/>
              </w:rPr>
            </w:pPr>
            <w:r>
              <w:rPr>
                <w:rFonts w:eastAsia="Yu Gothic Light"/>
              </w:rPr>
              <w:t>Edits written communications to ensure they contain the information necessary to achieve their purpose and meet audience needs</w:t>
            </w:r>
          </w:p>
          <w:p w14:paraId="16E26FA4" w14:textId="77777777" w:rsidR="002E6BA9" w:rsidRPr="00374824" w:rsidRDefault="002E6BA9" w:rsidP="00374824">
            <w:pPr>
              <w:pStyle w:val="BulletsIndent"/>
              <w:rPr>
                <w:rFonts w:eastAsia="Yu Gothic Light"/>
              </w:rPr>
            </w:pPr>
            <w:r>
              <w:rPr>
                <w:rFonts w:eastAsia="Yu Gothic Light"/>
              </w:rPr>
              <w:t>Ensures appropriate style and formats are used</w:t>
            </w:r>
          </w:p>
          <w:p w14:paraId="07E19350" w14:textId="77777777" w:rsidR="002E6BA9" w:rsidRPr="00964112" w:rsidRDefault="002E6BA9" w:rsidP="002E6BA9">
            <w:pPr>
              <w:pStyle w:val="Heading3"/>
              <w:rPr>
                <w:rFonts w:eastAsia="Yu Gothic Light"/>
              </w:rPr>
            </w:pPr>
            <w:r>
              <w:rPr>
                <w:rFonts w:eastAsia="Yu Gothic Light"/>
              </w:rPr>
              <w:t>Organising and Planning</w:t>
            </w:r>
          </w:p>
          <w:p w14:paraId="73DD2865" w14:textId="77777777" w:rsidR="002E6BA9" w:rsidRDefault="002E6BA9" w:rsidP="002E6BA9">
            <w:pPr>
              <w:pStyle w:val="BulletsIndent"/>
              <w:rPr>
                <w:rFonts w:eastAsia="Yu Gothic Light"/>
              </w:rPr>
            </w:pPr>
            <w:r>
              <w:rPr>
                <w:rFonts w:eastAsia="Yu Gothic Light"/>
              </w:rPr>
              <w:t>Sets clearly defined objectives and priorities and operates accordingly, reviewing and adjusting as required</w:t>
            </w:r>
          </w:p>
          <w:p w14:paraId="06639DB6" w14:textId="77777777" w:rsidR="002E6BA9" w:rsidRDefault="002E6BA9" w:rsidP="002E6BA9">
            <w:pPr>
              <w:pStyle w:val="BulletsIndent"/>
              <w:rPr>
                <w:rFonts w:eastAsia="Yu Gothic Light"/>
              </w:rPr>
            </w:pPr>
            <w:r>
              <w:rPr>
                <w:rFonts w:eastAsia="Yu Gothic Light"/>
              </w:rPr>
              <w:t>Identifies processes, tasks and resources required to achieve a goal</w:t>
            </w:r>
          </w:p>
          <w:p w14:paraId="36A5FBB3" w14:textId="77777777" w:rsidR="002E6BA9" w:rsidRDefault="002E6BA9" w:rsidP="002E6BA9">
            <w:pPr>
              <w:pStyle w:val="BulletsIndent"/>
              <w:rPr>
                <w:rFonts w:eastAsia="Yu Gothic Light"/>
              </w:rPr>
            </w:pPr>
            <w:r>
              <w:rPr>
                <w:rFonts w:eastAsia="Yu Gothic Light"/>
              </w:rPr>
              <w:t>Establishes systems and procedures to guide work and track progress</w:t>
            </w:r>
          </w:p>
          <w:p w14:paraId="18B5DECB" w14:textId="77777777" w:rsidR="002E6BA9" w:rsidRPr="00374824" w:rsidRDefault="002E6BA9" w:rsidP="002E6BA9">
            <w:pPr>
              <w:pStyle w:val="BulletsIndent"/>
              <w:rPr>
                <w:rFonts w:eastAsia="Yu Gothic Light"/>
              </w:rPr>
            </w:pPr>
            <w:r>
              <w:rPr>
                <w:rFonts w:eastAsia="Yu Gothic Light"/>
              </w:rPr>
              <w:t>Recognises actual and potential barriers and finds effective ways to deal with them</w:t>
            </w:r>
          </w:p>
          <w:p w14:paraId="1430C048" w14:textId="77777777" w:rsidR="00B66E9F" w:rsidRPr="00964112" w:rsidRDefault="00103164" w:rsidP="00B66E9F">
            <w:pPr>
              <w:pStyle w:val="Heading3"/>
              <w:rPr>
                <w:rFonts w:eastAsia="Yu Gothic Light"/>
              </w:rPr>
            </w:pPr>
            <w:r>
              <w:rPr>
                <w:rFonts w:eastAsia="Yu Gothic Light"/>
              </w:rPr>
              <w:t>Policy Skills</w:t>
            </w:r>
          </w:p>
          <w:p w14:paraId="2D4D35EA" w14:textId="77777777" w:rsidR="00374824" w:rsidRDefault="00103164" w:rsidP="00374824">
            <w:pPr>
              <w:pStyle w:val="BulletsIndent"/>
              <w:rPr>
                <w:rFonts w:eastAsia="Yu Gothic Light"/>
              </w:rPr>
            </w:pPr>
            <w:r>
              <w:rPr>
                <w:rFonts w:eastAsia="Yu Gothic Light"/>
              </w:rPr>
              <w:t>Formulates and communicates policy options and recommendations</w:t>
            </w:r>
          </w:p>
          <w:p w14:paraId="061A2ED9" w14:textId="77777777" w:rsidR="00103164" w:rsidRDefault="00103164" w:rsidP="00374824">
            <w:pPr>
              <w:pStyle w:val="BulletsIndent"/>
              <w:rPr>
                <w:rFonts w:eastAsia="Yu Gothic Light"/>
              </w:rPr>
            </w:pPr>
            <w:r>
              <w:rPr>
                <w:rFonts w:eastAsia="Yu Gothic Light"/>
              </w:rPr>
              <w:t>Keeps up-to-date with a broad range of contemporary issues</w:t>
            </w:r>
          </w:p>
          <w:p w14:paraId="3583F055" w14:textId="77777777" w:rsidR="00103164" w:rsidRDefault="00103164" w:rsidP="00374824">
            <w:pPr>
              <w:pStyle w:val="BulletsIndent"/>
              <w:rPr>
                <w:rFonts w:eastAsia="Yu Gothic Light"/>
              </w:rPr>
            </w:pPr>
            <w:r>
              <w:rPr>
                <w:rFonts w:eastAsia="Yu Gothic Light"/>
              </w:rPr>
              <w:t>Scans for links and potential implications of proposed policy options</w:t>
            </w:r>
          </w:p>
          <w:p w14:paraId="21A7BAE2" w14:textId="77777777" w:rsidR="00103164" w:rsidRPr="00374824" w:rsidRDefault="00103164" w:rsidP="00374824">
            <w:pPr>
              <w:pStyle w:val="BulletsIndent"/>
              <w:rPr>
                <w:rFonts w:eastAsia="Yu Gothic Light"/>
              </w:rPr>
            </w:pPr>
            <w:r>
              <w:rPr>
                <w:rFonts w:eastAsia="Yu Gothic Light"/>
              </w:rPr>
              <w:t>Liaises with stakeholders</w:t>
            </w:r>
          </w:p>
          <w:p w14:paraId="3AB926F3" w14:textId="77777777" w:rsidR="00B66E9F" w:rsidRPr="00964112" w:rsidRDefault="00374824" w:rsidP="00B66E9F">
            <w:pPr>
              <w:pStyle w:val="Heading3"/>
              <w:rPr>
                <w:rFonts w:eastAsia="Yu Gothic Light"/>
              </w:rPr>
            </w:pPr>
            <w:r>
              <w:rPr>
                <w:rFonts w:eastAsia="Yu Gothic Light"/>
              </w:rPr>
              <w:t>Stakeholder Management</w:t>
            </w:r>
          </w:p>
          <w:p w14:paraId="6C18109E" w14:textId="77777777" w:rsidR="00374824" w:rsidRPr="00374824" w:rsidRDefault="00374824" w:rsidP="00374824">
            <w:pPr>
              <w:pStyle w:val="BulletsIndent"/>
              <w:rPr>
                <w:rFonts w:eastAsia="Yu Gothic Light"/>
              </w:rPr>
            </w:pPr>
            <w:r w:rsidRPr="00374824">
              <w:rPr>
                <w:rFonts w:eastAsia="Yu Gothic Light"/>
              </w:rPr>
              <w:t>Identifies issues in common for one or more stakeholders and uses these to build mutually beneficial relationships</w:t>
            </w:r>
          </w:p>
          <w:p w14:paraId="72425D27" w14:textId="77777777" w:rsidR="00374824" w:rsidRPr="00374824" w:rsidRDefault="00374824" w:rsidP="00374824">
            <w:pPr>
              <w:pStyle w:val="BulletsIndent"/>
              <w:rPr>
                <w:rFonts w:eastAsia="Yu Gothic Light"/>
              </w:rPr>
            </w:pPr>
            <w:r w:rsidRPr="00374824">
              <w:rPr>
                <w:rFonts w:eastAsia="Yu Gothic Light"/>
              </w:rPr>
              <w:t>Identifies and responds to stakeholders’ underlying needs</w:t>
            </w:r>
          </w:p>
          <w:p w14:paraId="76FCA6C3" w14:textId="77777777" w:rsidR="00374824" w:rsidRPr="00374824" w:rsidRDefault="00374824" w:rsidP="00374824">
            <w:pPr>
              <w:pStyle w:val="BulletsIndent"/>
              <w:rPr>
                <w:rFonts w:eastAsia="Yu Gothic Light"/>
              </w:rPr>
            </w:pPr>
            <w:r w:rsidRPr="00374824">
              <w:rPr>
                <w:rFonts w:eastAsia="Yu Gothic Light"/>
              </w:rPr>
              <w:t xml:space="preserve">Uses understanding of the stakeholders’ organisational context to </w:t>
            </w:r>
            <w:r w:rsidRPr="00374824">
              <w:rPr>
                <w:rFonts w:eastAsia="Yu Gothic Light"/>
              </w:rPr>
              <w:lastRenderedPageBreak/>
              <w:t>ensure outcomes are achieved</w:t>
            </w:r>
          </w:p>
          <w:p w14:paraId="559681F2" w14:textId="77777777" w:rsidR="00374824" w:rsidRPr="00374824" w:rsidRDefault="00374824" w:rsidP="00374824">
            <w:pPr>
              <w:pStyle w:val="BulletsIndent"/>
              <w:rPr>
                <w:rFonts w:eastAsia="Yu Gothic Light"/>
              </w:rPr>
            </w:pPr>
            <w:r w:rsidRPr="00374824">
              <w:rPr>
                <w:rFonts w:eastAsia="Yu Gothic Light"/>
              </w:rPr>
              <w:t>Finds innovative solutions to resolve stakeholder issues</w:t>
            </w:r>
          </w:p>
          <w:p w14:paraId="0A040B8A" w14:textId="77777777" w:rsidR="00B66E9F" w:rsidRPr="00964112" w:rsidRDefault="00103164" w:rsidP="00B66E9F">
            <w:pPr>
              <w:pStyle w:val="Heading3"/>
              <w:rPr>
                <w:rFonts w:eastAsia="Yu Gothic Light"/>
              </w:rPr>
            </w:pPr>
            <w:r>
              <w:rPr>
                <w:rFonts w:eastAsia="Yu Gothic Light"/>
              </w:rPr>
              <w:t>Interpersonal Skills</w:t>
            </w:r>
          </w:p>
          <w:p w14:paraId="583B72D1" w14:textId="77777777" w:rsidR="00374824" w:rsidRDefault="00103164" w:rsidP="00374824">
            <w:pPr>
              <w:pStyle w:val="BulletsIndent"/>
              <w:rPr>
                <w:rFonts w:eastAsia="Yu Gothic Light"/>
              </w:rPr>
            </w:pPr>
            <w:r>
              <w:rPr>
                <w:rFonts w:eastAsia="Yu Gothic Light"/>
              </w:rPr>
              <w:t>Detects the underlying concerns, interests or emotions that lie behind what is being said and done</w:t>
            </w:r>
          </w:p>
          <w:p w14:paraId="7BB092EA" w14:textId="77777777" w:rsidR="00103164" w:rsidRDefault="00103164" w:rsidP="00374824">
            <w:pPr>
              <w:pStyle w:val="BulletsIndent"/>
              <w:rPr>
                <w:rFonts w:eastAsia="Yu Gothic Light"/>
              </w:rPr>
            </w:pPr>
            <w:r>
              <w:rPr>
                <w:rFonts w:eastAsia="Yu Gothic Light"/>
              </w:rPr>
              <w:t>Presents as genuine and sincere when dealing with others</w:t>
            </w:r>
          </w:p>
          <w:p w14:paraId="400116CA" w14:textId="77777777" w:rsidR="00103164" w:rsidRDefault="00103164" w:rsidP="00374824">
            <w:pPr>
              <w:pStyle w:val="BulletsIndent"/>
              <w:rPr>
                <w:rFonts w:eastAsia="Yu Gothic Light"/>
              </w:rPr>
            </w:pPr>
            <w:r>
              <w:rPr>
                <w:rFonts w:eastAsia="Yu Gothic Light"/>
              </w:rPr>
              <w:t>Projects an objective view of another’s position</w:t>
            </w:r>
          </w:p>
          <w:p w14:paraId="04D41FEC" w14:textId="77777777" w:rsidR="00374824" w:rsidRPr="00103164" w:rsidRDefault="00103164" w:rsidP="00103164">
            <w:pPr>
              <w:pStyle w:val="BulletsIndent"/>
              <w:rPr>
                <w:rFonts w:eastAsia="Yu Gothic Light"/>
              </w:rPr>
            </w:pPr>
            <w:r>
              <w:rPr>
                <w:rFonts w:eastAsia="Yu Gothic Light"/>
              </w:rPr>
              <w:t>Uses understanding of individuals to get the best outcomes for the person and organisation</w:t>
            </w:r>
          </w:p>
        </w:tc>
      </w:tr>
      <w:tr w:rsidR="00117634" w14:paraId="60269117" w14:textId="77777777" w:rsidTr="0066370C">
        <w:tc>
          <w:tcPr>
            <w:tcW w:w="2093" w:type="dxa"/>
          </w:tcPr>
          <w:p w14:paraId="266077B2" w14:textId="77777777" w:rsidR="00117634" w:rsidRDefault="00EC0400" w:rsidP="0066370C">
            <w:pPr>
              <w:pStyle w:val="TableTextBold"/>
              <w:spacing w:before="120" w:after="120"/>
            </w:pPr>
            <w:r>
              <w:lastRenderedPageBreak/>
              <w:t>Personal qualities</w:t>
            </w:r>
          </w:p>
        </w:tc>
        <w:tc>
          <w:tcPr>
            <w:tcW w:w="7371" w:type="dxa"/>
          </w:tcPr>
          <w:p w14:paraId="5DDC9D03" w14:textId="77777777" w:rsidR="00B66E9F" w:rsidRPr="00964112" w:rsidRDefault="00B66E9F" w:rsidP="00B66E9F">
            <w:pPr>
              <w:pStyle w:val="Heading3"/>
            </w:pPr>
            <w:r w:rsidRPr="00964112">
              <w:t>Integrity</w:t>
            </w:r>
          </w:p>
          <w:p w14:paraId="73806284" w14:textId="77777777" w:rsidR="00B66E9F" w:rsidRPr="00964112" w:rsidRDefault="00B66E9F" w:rsidP="00374824">
            <w:pPr>
              <w:pStyle w:val="BulletsIndent"/>
              <w:rPr>
                <w:rFonts w:eastAsia="Yu Gothic Light"/>
              </w:rPr>
            </w:pPr>
            <w:r w:rsidRPr="00964112">
              <w:rPr>
                <w:rFonts w:eastAsia="Yu Gothic Light"/>
              </w:rPr>
              <w:t>Committed to the public interest</w:t>
            </w:r>
          </w:p>
          <w:p w14:paraId="1F504769" w14:textId="77777777" w:rsidR="00B66E9F" w:rsidRPr="00964112" w:rsidRDefault="00B66E9F" w:rsidP="00374824">
            <w:pPr>
              <w:pStyle w:val="BulletsIndent"/>
              <w:rPr>
                <w:rFonts w:eastAsia="Yu Gothic Light"/>
              </w:rPr>
            </w:pPr>
            <w:r w:rsidRPr="00964112">
              <w:rPr>
                <w:rFonts w:eastAsia="Yu Gothic Light"/>
              </w:rPr>
              <w:t>Operates in a manner that is consistent with the VPSC Code of Conduct for VPS Employees of Special Bodies and Commissions</w:t>
            </w:r>
          </w:p>
          <w:p w14:paraId="65D03885" w14:textId="77777777" w:rsidR="00B66E9F" w:rsidRPr="00964112" w:rsidRDefault="00374824" w:rsidP="00374824">
            <w:pPr>
              <w:pStyle w:val="BulletsIndent"/>
              <w:rPr>
                <w:rFonts w:eastAsia="Yu Gothic Light"/>
              </w:rPr>
            </w:pPr>
            <w:r>
              <w:rPr>
                <w:rFonts w:eastAsia="Yu Gothic Light"/>
              </w:rPr>
              <w:t>Builds</w:t>
            </w:r>
            <w:r w:rsidR="00B66E9F" w:rsidRPr="00964112">
              <w:rPr>
                <w:rFonts w:eastAsia="Yu Gothic Light"/>
              </w:rPr>
              <w:t xml:space="preserve"> trust by treating all individuals fairly</w:t>
            </w:r>
          </w:p>
          <w:p w14:paraId="00153B0F" w14:textId="77777777" w:rsidR="00103164" w:rsidRPr="00494B25" w:rsidRDefault="00103164" w:rsidP="00103164">
            <w:pPr>
              <w:pStyle w:val="Heading3"/>
            </w:pPr>
            <w:r w:rsidRPr="00494B25">
              <w:t>Cultural awareness</w:t>
            </w:r>
          </w:p>
          <w:p w14:paraId="498761C6" w14:textId="77777777" w:rsidR="00103164" w:rsidRPr="00702D5F" w:rsidRDefault="00103164" w:rsidP="00103164">
            <w:pPr>
              <w:pStyle w:val="BulletsIndent"/>
            </w:pPr>
            <w:r w:rsidRPr="00702D5F">
              <w:t>Sound knowledge of Victorian Aboriginal culture and society</w:t>
            </w:r>
          </w:p>
          <w:p w14:paraId="69BED307" w14:textId="77777777" w:rsidR="00103164" w:rsidRDefault="00103164" w:rsidP="00103164">
            <w:pPr>
              <w:pStyle w:val="BulletsIndent"/>
            </w:pPr>
            <w:r w:rsidRPr="00702D5F">
              <w:t>Appreciation of the needs and aspirations of Victorian Aboriginal Communities</w:t>
            </w:r>
          </w:p>
          <w:p w14:paraId="58B2A2CF" w14:textId="77777777" w:rsidR="00103164" w:rsidRPr="00702D5F" w:rsidRDefault="00103164" w:rsidP="00103164">
            <w:pPr>
              <w:pStyle w:val="BulletsIndent"/>
            </w:pPr>
            <w:r>
              <w:t>Communicates sensitively with Aboriginal people</w:t>
            </w:r>
          </w:p>
          <w:p w14:paraId="581CD549" w14:textId="77777777" w:rsidR="00B66E9F" w:rsidRPr="00964112" w:rsidRDefault="00B66E9F" w:rsidP="00B66E9F">
            <w:pPr>
              <w:pStyle w:val="Heading3"/>
              <w:rPr>
                <w:rFonts w:eastAsia="Yu Gothic Light"/>
              </w:rPr>
            </w:pPr>
            <w:r w:rsidRPr="00964112">
              <w:rPr>
                <w:rFonts w:eastAsia="Yu Gothic Light"/>
              </w:rPr>
              <w:t xml:space="preserve">Drive &amp; </w:t>
            </w:r>
            <w:r w:rsidR="00103164">
              <w:rPr>
                <w:rFonts w:eastAsia="Yu Gothic Light"/>
              </w:rPr>
              <w:t>C</w:t>
            </w:r>
            <w:r w:rsidRPr="00964112">
              <w:rPr>
                <w:rFonts w:eastAsia="Yu Gothic Light"/>
              </w:rPr>
              <w:t>ommitment</w:t>
            </w:r>
          </w:p>
          <w:p w14:paraId="652F358C" w14:textId="77777777" w:rsidR="00B66E9F" w:rsidRPr="00964112" w:rsidRDefault="00B66E9F" w:rsidP="00374824">
            <w:pPr>
              <w:pStyle w:val="BulletsIndent"/>
              <w:rPr>
                <w:rFonts w:eastAsia="Yu Gothic Light"/>
              </w:rPr>
            </w:pPr>
            <w:r w:rsidRPr="00964112">
              <w:rPr>
                <w:rFonts w:eastAsia="Yu Gothic Light"/>
              </w:rPr>
              <w:t>Enthusiastic and committed</w:t>
            </w:r>
          </w:p>
          <w:p w14:paraId="5F262881" w14:textId="77777777" w:rsidR="00B66E9F" w:rsidRPr="00964112" w:rsidRDefault="00B66E9F" w:rsidP="00374824">
            <w:pPr>
              <w:pStyle w:val="BulletsIndent"/>
              <w:rPr>
                <w:rFonts w:eastAsia="Yu Gothic Light"/>
              </w:rPr>
            </w:pPr>
            <w:r w:rsidRPr="00964112">
              <w:rPr>
                <w:rFonts w:eastAsia="Yu Gothic Light"/>
              </w:rPr>
              <w:t>Demonstrates capacity for sustained effort and hard work</w:t>
            </w:r>
          </w:p>
          <w:p w14:paraId="55ECC53D" w14:textId="77777777" w:rsidR="00B66E9F" w:rsidRPr="00964112" w:rsidRDefault="00B66E9F" w:rsidP="00374824">
            <w:pPr>
              <w:pStyle w:val="BulletsIndent"/>
              <w:rPr>
                <w:rFonts w:eastAsia="Yu Gothic Light"/>
              </w:rPr>
            </w:pPr>
            <w:r w:rsidRPr="00964112">
              <w:rPr>
                <w:rFonts w:eastAsia="Yu Gothic Light"/>
              </w:rPr>
              <w:t>Sets high standards of performance for self and others</w:t>
            </w:r>
          </w:p>
          <w:p w14:paraId="77578FF8" w14:textId="77777777" w:rsidR="00B66E9F" w:rsidRPr="00964112" w:rsidRDefault="00B66E9F" w:rsidP="00374824">
            <w:pPr>
              <w:pStyle w:val="BulletsIndent"/>
              <w:rPr>
                <w:rFonts w:eastAsia="Yu Gothic Light"/>
              </w:rPr>
            </w:pPr>
            <w:r w:rsidRPr="00964112">
              <w:rPr>
                <w:rFonts w:eastAsia="Yu Gothic Light"/>
              </w:rPr>
              <w:t>Enjoys a vigorous and dynamic work environment</w:t>
            </w:r>
          </w:p>
          <w:p w14:paraId="753B22FD" w14:textId="77777777" w:rsidR="00B66E9F" w:rsidRPr="00964112" w:rsidRDefault="00103164" w:rsidP="00B66E9F">
            <w:pPr>
              <w:pStyle w:val="Heading3"/>
              <w:rPr>
                <w:rFonts w:eastAsia="Yu Gothic Light"/>
              </w:rPr>
            </w:pPr>
            <w:r>
              <w:rPr>
                <w:rFonts w:eastAsia="Yu Gothic Light"/>
              </w:rPr>
              <w:t>Relationship Building</w:t>
            </w:r>
          </w:p>
          <w:p w14:paraId="78BA3486" w14:textId="77777777" w:rsidR="00374824" w:rsidRDefault="00103164" w:rsidP="00374824">
            <w:pPr>
              <w:pStyle w:val="BulletsIndent"/>
              <w:rPr>
                <w:rFonts w:eastAsia="Yu Gothic Light"/>
              </w:rPr>
            </w:pPr>
            <w:r>
              <w:rPr>
                <w:rFonts w:eastAsia="Yu Gothic Light"/>
              </w:rPr>
              <w:t>Establishes and maintains relationships with people at all levels</w:t>
            </w:r>
          </w:p>
          <w:p w14:paraId="1A7DF92F" w14:textId="77777777" w:rsidR="00103164" w:rsidRDefault="00103164" w:rsidP="00374824">
            <w:pPr>
              <w:pStyle w:val="BulletsIndent"/>
              <w:rPr>
                <w:rFonts w:eastAsia="Yu Gothic Light"/>
              </w:rPr>
            </w:pPr>
            <w:r>
              <w:rPr>
                <w:rFonts w:eastAsia="Yu Gothic Light"/>
              </w:rPr>
              <w:t>Promotes harmony and consensus through diplomatic handling of disagreements</w:t>
            </w:r>
          </w:p>
          <w:p w14:paraId="6DCD4754" w14:textId="77777777" w:rsidR="00103164" w:rsidRDefault="007F04A4" w:rsidP="00374824">
            <w:pPr>
              <w:pStyle w:val="BulletsIndent"/>
              <w:rPr>
                <w:rFonts w:eastAsia="Yu Gothic Light"/>
              </w:rPr>
            </w:pPr>
            <w:r>
              <w:rPr>
                <w:rFonts w:eastAsia="Yu Gothic Light"/>
              </w:rPr>
              <w:t>Forges useful partnerships with people across the Commission and from other organisations in the pursuit of common goals</w:t>
            </w:r>
          </w:p>
          <w:p w14:paraId="773657C0" w14:textId="77777777" w:rsidR="007F04A4" w:rsidRDefault="007F04A4" w:rsidP="00374824">
            <w:pPr>
              <w:pStyle w:val="BulletsIndent"/>
              <w:rPr>
                <w:rFonts w:eastAsia="Yu Gothic Light"/>
              </w:rPr>
            </w:pPr>
            <w:r>
              <w:rPr>
                <w:rFonts w:eastAsia="Yu Gothic Light"/>
              </w:rPr>
              <w:t>Builds trust through consistent actions, sharing information and open communication</w:t>
            </w:r>
          </w:p>
          <w:p w14:paraId="7AD152DD" w14:textId="77777777" w:rsidR="000C1FA3" w:rsidRPr="007F04A4" w:rsidRDefault="007F04A4" w:rsidP="007F04A4">
            <w:pPr>
              <w:pStyle w:val="BulletsIndent"/>
            </w:pPr>
            <w:r>
              <w:rPr>
                <w:rFonts w:eastAsia="Yu Gothic Light"/>
              </w:rPr>
              <w:t>Approaches activities, decisions and outcomes from the perspective of working with others</w:t>
            </w:r>
          </w:p>
          <w:p w14:paraId="4B64DAB3" w14:textId="77777777" w:rsidR="007F04A4" w:rsidRPr="00964112" w:rsidRDefault="00897746" w:rsidP="007F04A4">
            <w:pPr>
              <w:pStyle w:val="Heading3"/>
              <w:rPr>
                <w:rFonts w:eastAsia="Yu Gothic Light"/>
              </w:rPr>
            </w:pPr>
            <w:r>
              <w:rPr>
                <w:rFonts w:eastAsia="Yu Gothic Light"/>
              </w:rPr>
              <w:t>Creativity and Innovation</w:t>
            </w:r>
          </w:p>
          <w:p w14:paraId="7726ECF3" w14:textId="77777777" w:rsidR="007F04A4" w:rsidRDefault="00897746" w:rsidP="007F04A4">
            <w:pPr>
              <w:pStyle w:val="BulletsIndent"/>
              <w:rPr>
                <w:rFonts w:eastAsia="Yu Gothic Light"/>
              </w:rPr>
            </w:pPr>
            <w:r>
              <w:rPr>
                <w:rFonts w:eastAsia="Yu Gothic Light"/>
              </w:rPr>
              <w:t>Generates new ideas</w:t>
            </w:r>
          </w:p>
          <w:p w14:paraId="2B5D2402" w14:textId="77777777" w:rsidR="00897746" w:rsidRDefault="00897746" w:rsidP="007F04A4">
            <w:pPr>
              <w:pStyle w:val="BulletsIndent"/>
              <w:rPr>
                <w:rFonts w:eastAsia="Yu Gothic Light"/>
              </w:rPr>
            </w:pPr>
            <w:r>
              <w:rPr>
                <w:rFonts w:eastAsia="Yu Gothic Light"/>
              </w:rPr>
              <w:lastRenderedPageBreak/>
              <w:t>Draws on a range of information sources to identify new ways of doing things</w:t>
            </w:r>
          </w:p>
          <w:p w14:paraId="2F3B32C6" w14:textId="77777777" w:rsidR="00897746" w:rsidRDefault="00897746" w:rsidP="007F04A4">
            <w:pPr>
              <w:pStyle w:val="BulletsIndent"/>
              <w:rPr>
                <w:rFonts w:eastAsia="Yu Gothic Light"/>
              </w:rPr>
            </w:pPr>
            <w:r>
              <w:rPr>
                <w:rFonts w:eastAsia="Yu Gothic Light"/>
              </w:rPr>
              <w:t>Translates creative ideas into workplace improvements</w:t>
            </w:r>
          </w:p>
          <w:p w14:paraId="0D17ABCD" w14:textId="77777777" w:rsidR="007F04A4" w:rsidRDefault="00897746" w:rsidP="00897746">
            <w:pPr>
              <w:pStyle w:val="BulletsIndent"/>
            </w:pPr>
            <w:r>
              <w:rPr>
                <w:rFonts w:eastAsia="Yu Gothic Light"/>
              </w:rPr>
              <w:t>Reflects on experience and is open to new ways to improve practice</w:t>
            </w:r>
          </w:p>
        </w:tc>
      </w:tr>
      <w:tr w:rsidR="00EC0400" w14:paraId="04007A4D" w14:textId="77777777" w:rsidTr="0066370C">
        <w:tc>
          <w:tcPr>
            <w:tcW w:w="2093" w:type="dxa"/>
          </w:tcPr>
          <w:p w14:paraId="42991358" w14:textId="77777777" w:rsidR="00EC0400" w:rsidRDefault="00EC0400" w:rsidP="0066370C">
            <w:pPr>
              <w:pStyle w:val="TableTextBold"/>
              <w:spacing w:before="120" w:after="120"/>
            </w:pPr>
            <w:r>
              <w:lastRenderedPageBreak/>
              <w:t>Qualifications and experience</w:t>
            </w:r>
          </w:p>
        </w:tc>
        <w:tc>
          <w:tcPr>
            <w:tcW w:w="7371" w:type="dxa"/>
          </w:tcPr>
          <w:p w14:paraId="0587F7B4" w14:textId="77777777" w:rsidR="00374824" w:rsidRPr="00AF1699" w:rsidRDefault="00374824" w:rsidP="00374824">
            <w:pPr>
              <w:pStyle w:val="Heading3"/>
              <w:rPr>
                <w:rFonts w:eastAsia="Yu Gothic Light" w:cs="Arial"/>
                <w:b w:val="0"/>
                <w:color w:val="000000" w:themeColor="text1"/>
                <w:sz w:val="20"/>
              </w:rPr>
            </w:pPr>
            <w:r w:rsidRPr="00374824">
              <w:t>Desirable</w:t>
            </w:r>
          </w:p>
          <w:p w14:paraId="4C367AF9" w14:textId="77777777" w:rsidR="00374824" w:rsidRPr="00AE6996" w:rsidRDefault="00374824" w:rsidP="00374824">
            <w:pPr>
              <w:pStyle w:val="BulletsIndent"/>
              <w:rPr>
                <w:rFonts w:eastAsia="Yu Gothic Light"/>
                <w:color w:val="000000" w:themeColor="text1"/>
              </w:rPr>
            </w:pPr>
            <w:r w:rsidRPr="00AE6996">
              <w:rPr>
                <w:rFonts w:eastAsia="Yu Gothic Light"/>
                <w:color w:val="000000" w:themeColor="text1"/>
              </w:rPr>
              <w:t>Relevant tertiary qualification</w:t>
            </w:r>
          </w:p>
          <w:p w14:paraId="61188057" w14:textId="77777777" w:rsidR="00897746" w:rsidRDefault="00897746" w:rsidP="00374824">
            <w:pPr>
              <w:pStyle w:val="BulletsIndent"/>
            </w:pPr>
            <w:r>
              <w:rPr>
                <w:rFonts w:eastAsia="Yu Gothic Light"/>
                <w:color w:val="000000" w:themeColor="text1"/>
              </w:rPr>
              <w:t>Demonstrated experience working with Aboriginal people and communities, including sophisticated and culturally aware stakeholder engagement</w:t>
            </w:r>
          </w:p>
        </w:tc>
      </w:tr>
    </w:tbl>
    <w:p w14:paraId="216096A5" w14:textId="77777777" w:rsidR="00117634" w:rsidRDefault="00117634" w:rsidP="00EC0400">
      <w:pPr>
        <w:pStyle w:val="Heading2"/>
        <w:jc w:val="both"/>
      </w:pPr>
      <w:r>
        <w:t>Conditions and Benefits</w:t>
      </w:r>
    </w:p>
    <w:p w14:paraId="117FF409" w14:textId="77777777" w:rsidR="00117634" w:rsidRDefault="00117634" w:rsidP="00EC0400">
      <w:pPr>
        <w:jc w:val="both"/>
      </w:pPr>
      <w:r>
        <w:t xml:space="preserve">All staff of the Commission are required to comply with the </w:t>
      </w:r>
      <w:r w:rsidRPr="0035542F">
        <w:rPr>
          <w:i/>
        </w:rPr>
        <w:t>Code of Conduct for Victorian Public Sector</w:t>
      </w:r>
      <w:r w:rsidR="00B66E9F" w:rsidRPr="0035542F">
        <w:rPr>
          <w:i/>
        </w:rPr>
        <w:t xml:space="preserve"> Employees of Special Bodies 2015</w:t>
      </w:r>
      <w:r w:rsidRPr="0035542F">
        <w:rPr>
          <w:i/>
        </w:rPr>
        <w:t xml:space="preserve"> </w:t>
      </w:r>
      <w:r>
        <w:t>and agree to work according to our values of listening and advocating and being independent and accountable.</w:t>
      </w:r>
    </w:p>
    <w:p w14:paraId="74C1CAAB" w14:textId="77777777" w:rsidR="00117634" w:rsidRDefault="00117634" w:rsidP="00EC0400">
      <w:pPr>
        <w:jc w:val="both"/>
      </w:pPr>
      <w:r>
        <w:t xml:space="preserve">Staff of the Commission can enjoy a range of generous Victorian Government employment benefits. These include attractive salaries, flexible leave arrangements and training and development opportunities. Please see </w:t>
      </w:r>
      <w:hyperlink r:id="rId8" w:history="1">
        <w:r w:rsidRPr="007C31EC">
          <w:rPr>
            <w:rStyle w:val="Hyperlink"/>
            <w:rFonts w:cstheme="minorHAnsi"/>
          </w:rPr>
          <w:t>www.careers.vic.gov.au/why/benefits-conditions</w:t>
        </w:r>
      </w:hyperlink>
      <w:r>
        <w:t>.</w:t>
      </w:r>
    </w:p>
    <w:p w14:paraId="4988F450" w14:textId="77777777" w:rsidR="00117634" w:rsidRDefault="00117634" w:rsidP="00EC0400">
      <w:pPr>
        <w:pStyle w:val="Heading2"/>
        <w:jc w:val="both"/>
      </w:pPr>
      <w:r>
        <w:t>Safety screening</w:t>
      </w:r>
    </w:p>
    <w:p w14:paraId="26117403" w14:textId="77777777" w:rsidR="00117634" w:rsidRDefault="00117634" w:rsidP="00EC0400">
      <w:pPr>
        <w:jc w:val="both"/>
      </w:pPr>
      <w:r>
        <w:t xml:space="preserve">All competitive applicants are subject to a satisfactory National Police History Check as part of the recruitment assessment process. </w:t>
      </w:r>
    </w:p>
    <w:p w14:paraId="069C4D7E" w14:textId="77777777" w:rsidR="00117634" w:rsidRDefault="00117634" w:rsidP="00EC0400">
      <w:pPr>
        <w:jc w:val="both"/>
      </w:pPr>
      <w:r>
        <w:t>Applicants who have lived overseas for 12 months or longer during the past 10 years are required to provide the results of an international police check. Applicants should contact the relevant overseas police force to obtain this and submit as part of their application. Details of overseas police agencies are available on the Department of Immigration and Border Protection website (www.immi.gov.au) and search under ‘Character and Police Certificate Requirements – How do I obtain a police certificate?’</w:t>
      </w:r>
    </w:p>
    <w:p w14:paraId="3555894E" w14:textId="77777777" w:rsidR="00117634" w:rsidRPr="00117634" w:rsidRDefault="00117634" w:rsidP="00EC0400">
      <w:pPr>
        <w:jc w:val="both"/>
      </w:pPr>
      <w:r>
        <w:t>A current Employee Working with Children Check (WWCC) card is required and will need to be provided prior to commencement of employment by the applicant. Currency will need to be maintained by the employee for the period of employment.</w:t>
      </w:r>
    </w:p>
    <w:sectPr w:rsidR="00117634" w:rsidRPr="00117634" w:rsidSect="0066370C">
      <w:footerReference w:type="default" r:id="rId9"/>
      <w:headerReference w:type="first" r:id="rId10"/>
      <w:footerReference w:type="first" r:id="rId11"/>
      <w:pgSz w:w="11900" w:h="16840"/>
      <w:pgMar w:top="1134" w:right="1127" w:bottom="1701" w:left="1418" w:header="238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031ED" w14:textId="77777777" w:rsidR="00712708" w:rsidRDefault="00712708" w:rsidP="00A642F5">
      <w:pPr>
        <w:spacing w:before="0"/>
      </w:pPr>
      <w:r>
        <w:separator/>
      </w:r>
    </w:p>
  </w:endnote>
  <w:endnote w:type="continuationSeparator" w:id="0">
    <w:p w14:paraId="61B85576" w14:textId="77777777" w:rsidR="00712708" w:rsidRDefault="00712708"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CCYPInfoBar"/>
      <w:tblpPr w:leftFromText="180" w:rightFromText="180" w:vertAnchor="text" w:horzAnchor="page" w:tblpX="1402" w:tblpY="-595"/>
      <w:tblW w:w="0" w:type="auto"/>
      <w:tblLayout w:type="fixed"/>
      <w:tblLook w:val="00A0" w:firstRow="1" w:lastRow="0" w:firstColumn="1" w:lastColumn="0" w:noHBand="0" w:noVBand="0"/>
    </w:tblPr>
    <w:tblGrid>
      <w:gridCol w:w="877"/>
      <w:gridCol w:w="125"/>
      <w:gridCol w:w="1270"/>
      <w:gridCol w:w="142"/>
      <w:gridCol w:w="1355"/>
      <w:gridCol w:w="142"/>
      <w:gridCol w:w="3828"/>
    </w:tblGrid>
    <w:tr w:rsidR="00723CBD" w14:paraId="234C4ED7" w14:textId="77777777" w:rsidTr="00A36846">
      <w:trPr>
        <w:trHeight w:val="368"/>
      </w:trPr>
      <w:tc>
        <w:tcPr>
          <w:cnfStyle w:val="001000000000" w:firstRow="0" w:lastRow="0" w:firstColumn="1" w:lastColumn="0" w:oddVBand="0" w:evenVBand="0" w:oddHBand="0" w:evenHBand="0" w:firstRowFirstColumn="0" w:firstRowLastColumn="0" w:lastRowFirstColumn="0" w:lastRowLastColumn="0"/>
          <w:tcW w:w="877"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635F0E70" w14:textId="77777777" w:rsidR="00723CBD" w:rsidRPr="00C74A32" w:rsidRDefault="00D61471" w:rsidP="002F1A1B">
          <w:pPr>
            <w:pStyle w:val="TableTextInfo"/>
          </w:pPr>
          <w:r>
            <w:rPr>
              <w:noProof/>
            </w:rPr>
            <mc:AlternateContent>
              <mc:Choice Requires="wps">
                <w:drawing>
                  <wp:anchor distT="0" distB="0" distL="114300" distR="114300" simplePos="0" relativeHeight="251660288" behindDoc="0" locked="0" layoutInCell="0" allowOverlap="1" wp14:anchorId="7934624F" wp14:editId="69AC7372">
                    <wp:simplePos x="0" y="0"/>
                    <wp:positionH relativeFrom="page">
                      <wp:posOffset>0</wp:posOffset>
                    </wp:positionH>
                    <wp:positionV relativeFrom="page">
                      <wp:posOffset>10190480</wp:posOffset>
                    </wp:positionV>
                    <wp:extent cx="7556500" cy="311785"/>
                    <wp:effectExtent l="0" t="0" r="0" b="12065"/>
                    <wp:wrapNone/>
                    <wp:docPr id="4" name="MSIPCMcf1b44c18d0b4f6ea8e6ac1c" descr="{&quot;HashCode&quot;:90475836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71177D" w14:textId="77777777" w:rsidR="00D61471" w:rsidRPr="00D61471" w:rsidRDefault="00D61471" w:rsidP="00D61471">
                                <w:pPr>
                                  <w:spacing w:before="0"/>
                                  <w:jc w:val="center"/>
                                  <w:rPr>
                                    <w:rFonts w:ascii="Arial Black" w:hAnsi="Arial Black"/>
                                    <w:color w:val="000000"/>
                                    <w:sz w:val="20"/>
                                  </w:rPr>
                                </w:pPr>
                                <w:r w:rsidRPr="00D6147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34624F" id="_x0000_t202" coordsize="21600,21600" o:spt="202" path="m,l,21600r21600,l21600,xe">
                    <v:stroke joinstyle="miter"/>
                    <v:path gradientshapeok="t" o:connecttype="rect"/>
                  </v:shapetype>
                  <v:shape id="MSIPCMcf1b44c18d0b4f6ea8e6ac1c" o:spid="_x0000_s1026" type="#_x0000_t202" alt="{&quot;HashCode&quot;:904758361,&quot;Height&quot;:842.0,&quot;Width&quot;:595.0,&quot;Placement&quot;:&quot;Footer&quot;,&quot;Index&quot;:&quot;Primary&quot;,&quot;Section&quot;:1,&quot;Top&quot;:0.0,&quot;Left&quot;:0.0}" style="position:absolute;left:0;text-align:left;margin-left:0;margin-top:802.4pt;width:595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" o:allowincell="f" filled="f" stroked="f" strokeweight=".5pt">
                    <v:textbox inset=",0,,0">
                      <w:txbxContent>
                        <w:p w14:paraId="5271177D" w14:textId="77777777" w:rsidR="00D61471" w:rsidRPr="00D61471" w:rsidRDefault="00D61471" w:rsidP="00D61471">
                          <w:pPr>
                            <w:spacing w:before="0"/>
                            <w:jc w:val="center"/>
                            <w:rPr>
                              <w:rFonts w:ascii="Arial Black" w:hAnsi="Arial Black"/>
                              <w:color w:val="000000"/>
                              <w:sz w:val="20"/>
                            </w:rPr>
                          </w:pPr>
                          <w:r w:rsidRPr="00D61471">
                            <w:rPr>
                              <w:rFonts w:ascii="Arial Black" w:hAnsi="Arial Black"/>
                              <w:color w:val="000000"/>
                              <w:sz w:val="20"/>
                            </w:rPr>
                            <w:t>OFFICIAL</w:t>
                          </w:r>
                        </w:p>
                      </w:txbxContent>
                    </v:textbox>
                    <w10:wrap anchorx="page" anchory="page"/>
                  </v:shape>
                </w:pict>
              </mc:Fallback>
            </mc:AlternateContent>
          </w:r>
          <w:r w:rsidR="00723CBD">
            <w:t xml:space="preserve">Page </w:t>
          </w:r>
          <w:r w:rsidR="00723CBD">
            <w:fldChar w:fldCharType="begin"/>
          </w:r>
          <w:r w:rsidR="00723CBD">
            <w:instrText xml:space="preserve"> PAGE  \* Arabic  \* MERGEFORMAT </w:instrText>
          </w:r>
          <w:r w:rsidR="00723CBD">
            <w:fldChar w:fldCharType="separate"/>
          </w:r>
          <w:r w:rsidR="00227E88">
            <w:rPr>
              <w:noProof/>
            </w:rPr>
            <w:t>5</w:t>
          </w:r>
          <w:r w:rsidR="00723CBD">
            <w:fldChar w:fldCharType="end"/>
          </w:r>
          <w:r w:rsidR="00723CBD">
            <w:t xml:space="preserve"> of </w:t>
          </w:r>
          <w:r w:rsidR="008928DA">
            <w:fldChar w:fldCharType="begin"/>
          </w:r>
          <w:r w:rsidR="008928DA">
            <w:instrText xml:space="preserve"> NUMPAGES  \* Arabic  \* MERGEFORMAT </w:instrText>
          </w:r>
          <w:r w:rsidR="008928DA">
            <w:fldChar w:fldCharType="separate"/>
          </w:r>
          <w:r w:rsidR="00227E88">
            <w:rPr>
              <w:noProof/>
            </w:rPr>
            <w:t>5</w:t>
          </w:r>
          <w:r w:rsidR="008928DA">
            <w:rPr>
              <w:noProof/>
            </w:rPr>
            <w:fldChar w:fldCharType="end"/>
          </w:r>
        </w:p>
      </w:tc>
      <w:tc>
        <w:tcPr>
          <w:tcW w:w="125" w:type="dxa"/>
          <w:tcBorders>
            <w:left w:val="single" w:sz="4" w:space="0" w:color="494A4C" w:themeColor="accent6" w:themeShade="80"/>
          </w:tcBorders>
        </w:tcPr>
        <w:p w14:paraId="50B9C1D1" w14:textId="77777777" w:rsidR="00723CBD" w:rsidRDefault="00723CBD" w:rsidP="002F1A1B">
          <w:pPr>
            <w:pStyle w:val="CCYPText"/>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270" w:type="dxa"/>
        </w:tcPr>
        <w:p w14:paraId="014D54AF" w14:textId="77777777" w:rsidR="00723CBD" w:rsidRDefault="00723CBD" w:rsidP="002F1A1B">
          <w:pPr>
            <w:pStyle w:val="TableTextInfo"/>
          </w:pPr>
          <w:r w:rsidRPr="005A3D52">
            <w:rPr>
              <w:b/>
            </w:rPr>
            <w:t>p.</w:t>
          </w:r>
          <w:r>
            <w:t xml:space="preserve"> 1300 782 978</w:t>
          </w:r>
        </w:p>
      </w:tc>
      <w:tc>
        <w:tcPr>
          <w:tcW w:w="142" w:type="dxa"/>
        </w:tcPr>
        <w:p w14:paraId="0EB66451" w14:textId="77777777" w:rsidR="00723CBD" w:rsidRDefault="00723CBD" w:rsidP="002F1A1B">
          <w:pPr>
            <w:pStyle w:val="CCYPText"/>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355" w:type="dxa"/>
        </w:tcPr>
        <w:p w14:paraId="06332763" w14:textId="77777777" w:rsidR="00723CBD" w:rsidRDefault="00723CBD" w:rsidP="002F1A1B">
          <w:pPr>
            <w:pStyle w:val="TableTextInfo"/>
          </w:pPr>
          <w:r w:rsidRPr="005A3D52">
            <w:rPr>
              <w:b/>
            </w:rPr>
            <w:t>w.</w:t>
          </w:r>
          <w:r>
            <w:t xml:space="preserve"> ccyp.vic.gov.au</w:t>
          </w:r>
        </w:p>
      </w:tc>
      <w:tc>
        <w:tcPr>
          <w:tcW w:w="142" w:type="dxa"/>
        </w:tcPr>
        <w:p w14:paraId="737AA32B" w14:textId="77777777" w:rsidR="00723CBD" w:rsidRPr="005A3D52" w:rsidRDefault="00723CBD" w:rsidP="002F1A1B">
          <w:pPr>
            <w:pStyle w:val="TableTextInfo"/>
            <w:cnfStyle w:val="000000000000" w:firstRow="0" w:lastRow="0" w:firstColumn="0" w:lastColumn="0" w:oddVBand="0" w:evenVBand="0" w:oddHBand="0" w:evenHBand="0" w:firstRowFirstColumn="0" w:firstRowLastColumn="0" w:lastRowFirstColumn="0" w:lastRowLastColumn="0"/>
            <w:rPr>
              <w:b/>
            </w:rPr>
          </w:pPr>
        </w:p>
      </w:tc>
      <w:tc>
        <w:tcPr>
          <w:cnfStyle w:val="000001000000" w:firstRow="0" w:lastRow="0" w:firstColumn="0" w:lastColumn="0" w:oddVBand="0" w:evenVBand="1" w:oddHBand="0" w:evenHBand="0" w:firstRowFirstColumn="0" w:firstRowLastColumn="0" w:lastRowFirstColumn="0" w:lastRowLastColumn="0"/>
          <w:tcW w:w="3828" w:type="dxa"/>
        </w:tcPr>
        <w:p w14:paraId="42D29288" w14:textId="77777777" w:rsidR="00723CBD" w:rsidRPr="005A3D52" w:rsidRDefault="00723CBD" w:rsidP="00A36846">
          <w:pPr>
            <w:pStyle w:val="TableTextInfo"/>
          </w:pPr>
          <w:r w:rsidRPr="005A3D52">
            <w:rPr>
              <w:lang w:val="en-US"/>
            </w:rPr>
            <w:t xml:space="preserve">Level 18 / 570 </w:t>
          </w:r>
          <w:r w:rsidRPr="00A36846">
            <w:t>Bourke</w:t>
          </w:r>
          <w:r w:rsidRPr="005A3D52">
            <w:rPr>
              <w:lang w:val="en-US"/>
            </w:rPr>
            <w:t xml:space="preserve"> Street Melbourne, 3000 DX210229</w:t>
          </w:r>
        </w:p>
      </w:tc>
    </w:tr>
  </w:tbl>
  <w:p w14:paraId="41794301" w14:textId="77777777" w:rsidR="00197BE5" w:rsidRDefault="00A36846">
    <w:pPr>
      <w:pStyle w:val="Footer"/>
    </w:pPr>
    <w:r>
      <w:rPr>
        <w:noProof/>
        <w:lang w:eastAsia="en-AU"/>
      </w:rPr>
      <w:drawing>
        <wp:anchor distT="0" distB="0" distL="114300" distR="114300" simplePos="0" relativeHeight="251658240" behindDoc="0" locked="0" layoutInCell="1" allowOverlap="1" wp14:anchorId="17D5DB45" wp14:editId="0249AD67">
          <wp:simplePos x="0" y="0"/>
          <wp:positionH relativeFrom="column">
            <wp:posOffset>5104765</wp:posOffset>
          </wp:positionH>
          <wp:positionV relativeFrom="paragraph">
            <wp:posOffset>-723900</wp:posOffset>
          </wp:positionV>
          <wp:extent cx="917575" cy="629920"/>
          <wp:effectExtent l="0" t="0" r="0" b="0"/>
          <wp:wrapTight wrapText="bothSides">
            <wp:wrapPolygon edited="0">
              <wp:start x="8072" y="0"/>
              <wp:lineTo x="5830" y="3266"/>
              <wp:lineTo x="5381" y="6532"/>
              <wp:lineTo x="6278" y="10452"/>
              <wp:lineTo x="0" y="10452"/>
              <wp:lineTo x="0" y="16331"/>
              <wp:lineTo x="1345" y="20903"/>
              <wp:lineTo x="19731" y="20903"/>
              <wp:lineTo x="21077" y="16331"/>
              <wp:lineTo x="21077" y="10452"/>
              <wp:lineTo x="15247" y="10452"/>
              <wp:lineTo x="16144" y="7185"/>
              <wp:lineTo x="15247" y="3266"/>
              <wp:lineTo x="12556" y="0"/>
              <wp:lineTo x="807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917575" cy="629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5C85A" w14:textId="77777777" w:rsidR="000E289B" w:rsidRDefault="00D61471">
    <w:pPr>
      <w:pStyle w:val="Footer"/>
    </w:pPr>
    <w:r>
      <w:rPr>
        <w:noProof/>
      </w:rPr>
      <mc:AlternateContent>
        <mc:Choice Requires="wps">
          <w:drawing>
            <wp:anchor distT="0" distB="0" distL="114300" distR="114300" simplePos="0" relativeHeight="251662336" behindDoc="0" locked="0" layoutInCell="0" allowOverlap="1" wp14:anchorId="60076D54" wp14:editId="17FA0E27">
              <wp:simplePos x="0" y="0"/>
              <wp:positionH relativeFrom="page">
                <wp:posOffset>0</wp:posOffset>
              </wp:positionH>
              <wp:positionV relativeFrom="page">
                <wp:posOffset>10190480</wp:posOffset>
              </wp:positionV>
              <wp:extent cx="7556500" cy="311785"/>
              <wp:effectExtent l="0" t="0" r="0" b="12065"/>
              <wp:wrapNone/>
              <wp:docPr id="5" name="MSIPCM918d4236b927ffb307b45f07" descr="{&quot;HashCode&quot;:904758361,&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7BE184" w14:textId="77777777" w:rsidR="00D61471" w:rsidRPr="00D61471" w:rsidRDefault="00D61471" w:rsidP="00D61471">
                          <w:pPr>
                            <w:spacing w:before="0"/>
                            <w:jc w:val="center"/>
                            <w:rPr>
                              <w:rFonts w:ascii="Arial Black" w:hAnsi="Arial Black"/>
                              <w:color w:val="000000"/>
                              <w:sz w:val="20"/>
                            </w:rPr>
                          </w:pPr>
                          <w:r w:rsidRPr="00D6147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076D54" id="_x0000_t202" coordsize="21600,21600" o:spt="202" path="m,l,21600r21600,l21600,xe">
              <v:stroke joinstyle="miter"/>
              <v:path gradientshapeok="t" o:connecttype="rect"/>
            </v:shapetype>
            <v:shape id="MSIPCM918d4236b927ffb307b45f07" o:spid="_x0000_s1027" type="#_x0000_t202" alt="{&quot;HashCode&quot;:904758361,&quot;Height&quot;:842.0,&quot;Width&quot;:595.0,&quot;Placement&quot;:&quot;Footer&quot;,&quot;Index&quot;:&quot;FirstPage&quot;,&quot;Section&quot;:1,&quot;Top&quot;:0.0,&quot;Left&quot;:0.0}" style="position:absolute;margin-left:0;margin-top:802.4pt;width:595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" o:allowincell="f" filled="f" stroked="f" strokeweight=".5pt">
              <v:textbox inset=",0,,0">
                <w:txbxContent>
                  <w:p w14:paraId="097BE184" w14:textId="77777777" w:rsidR="00D61471" w:rsidRPr="00D61471" w:rsidRDefault="00D61471" w:rsidP="00D61471">
                    <w:pPr>
                      <w:spacing w:before="0"/>
                      <w:jc w:val="center"/>
                      <w:rPr>
                        <w:rFonts w:ascii="Arial Black" w:hAnsi="Arial Black"/>
                        <w:color w:val="000000"/>
                        <w:sz w:val="20"/>
                      </w:rPr>
                    </w:pPr>
                    <w:r w:rsidRPr="00D61471">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E02F0" w14:textId="77777777" w:rsidR="00712708" w:rsidRDefault="00712708" w:rsidP="00A642F5">
      <w:pPr>
        <w:spacing w:before="0"/>
      </w:pPr>
      <w:r>
        <w:separator/>
      </w:r>
    </w:p>
  </w:footnote>
  <w:footnote w:type="continuationSeparator" w:id="0">
    <w:p w14:paraId="573E55DC" w14:textId="77777777" w:rsidR="00712708" w:rsidRDefault="00712708" w:rsidP="00A642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E7C9" w14:textId="77777777" w:rsidR="002F54AD" w:rsidRPr="00F6222C" w:rsidRDefault="002F1A1B" w:rsidP="00DF4DDD">
    <w:pPr>
      <w:pStyle w:val="Header"/>
      <w:tabs>
        <w:tab w:val="clear" w:pos="4513"/>
        <w:tab w:val="clear" w:pos="9026"/>
        <w:tab w:val="left" w:pos="429"/>
        <w:tab w:val="left" w:pos="1540"/>
      </w:tabs>
    </w:pPr>
    <w:r>
      <w:rPr>
        <w:noProof/>
        <w:lang w:eastAsia="en-AU"/>
      </w:rPr>
      <w:drawing>
        <wp:anchor distT="0" distB="0" distL="114300" distR="114300" simplePos="0" relativeHeight="251654144" behindDoc="0" locked="0" layoutInCell="1" allowOverlap="1" wp14:anchorId="5F8DF8E5" wp14:editId="64925709">
          <wp:simplePos x="0" y="0"/>
          <wp:positionH relativeFrom="column">
            <wp:posOffset>-76835</wp:posOffset>
          </wp:positionH>
          <wp:positionV relativeFrom="paragraph">
            <wp:posOffset>-1050925</wp:posOffset>
          </wp:positionV>
          <wp:extent cx="1489710" cy="1023620"/>
          <wp:effectExtent l="0" t="0" r="8890" b="0"/>
          <wp:wrapTight wrapText="bothSides">
            <wp:wrapPolygon edited="0">
              <wp:start x="9575" y="0"/>
              <wp:lineTo x="7366" y="536"/>
              <wp:lineTo x="5524" y="4288"/>
              <wp:lineTo x="5893" y="8576"/>
              <wp:lineTo x="0" y="12328"/>
              <wp:lineTo x="0" y="16079"/>
              <wp:lineTo x="2210" y="17151"/>
              <wp:lineTo x="1473" y="20903"/>
              <wp:lineTo x="19887" y="20903"/>
              <wp:lineTo x="19151" y="17151"/>
              <wp:lineTo x="21361" y="16079"/>
              <wp:lineTo x="21361" y="12328"/>
              <wp:lineTo x="15468" y="8576"/>
              <wp:lineTo x="16205" y="5896"/>
              <wp:lineTo x="14731" y="2680"/>
              <wp:lineTo x="12153" y="0"/>
              <wp:lineTo x="957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1489710" cy="1023620"/>
                  </a:xfrm>
                  <a:prstGeom prst="rect">
                    <a:avLst/>
                  </a:prstGeom>
                </pic:spPr>
              </pic:pic>
            </a:graphicData>
          </a:graphic>
          <wp14:sizeRelH relativeFrom="page">
            <wp14:pctWidth>0</wp14:pctWidth>
          </wp14:sizeRelH>
          <wp14:sizeRelV relativeFrom="page">
            <wp14:pctHeight>0</wp14:pctHeight>
          </wp14:sizeRelV>
        </wp:anchor>
      </w:drawing>
    </w:r>
    <w:r w:rsidR="00D660DB">
      <w:rPr>
        <w:noProof/>
        <w:lang w:eastAsia="en-AU"/>
      </w:rPr>
      <w:drawing>
        <wp:anchor distT="0" distB="0" distL="114300" distR="114300" simplePos="0" relativeHeight="251656192" behindDoc="1" locked="0" layoutInCell="1" allowOverlap="1" wp14:anchorId="5D21F00D" wp14:editId="7A02FF42">
          <wp:simplePos x="0" y="0"/>
          <wp:positionH relativeFrom="column">
            <wp:posOffset>3902902</wp:posOffset>
          </wp:positionH>
          <wp:positionV relativeFrom="paragraph">
            <wp:posOffset>-1509203</wp:posOffset>
          </wp:positionV>
          <wp:extent cx="3227705" cy="49872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ypAsset 1.png"/>
                  <pic:cNvPicPr/>
                </pic:nvPicPr>
                <pic:blipFill>
                  <a:blip r:embed="rId2">
                    <a:extLst>
                      <a:ext uri="{28A0092B-C50C-407E-A947-70E740481C1C}">
                        <a14:useLocalDpi xmlns:a14="http://schemas.microsoft.com/office/drawing/2010/main" val="0"/>
                      </a:ext>
                    </a:extLst>
                  </a:blip>
                  <a:stretch>
                    <a:fillRect/>
                  </a:stretch>
                </pic:blipFill>
                <pic:spPr>
                  <a:xfrm>
                    <a:off x="0" y="0"/>
                    <a:ext cx="3227705" cy="4987290"/>
                  </a:xfrm>
                  <a:prstGeom prst="rect">
                    <a:avLst/>
                  </a:prstGeom>
                </pic:spPr>
              </pic:pic>
            </a:graphicData>
          </a:graphic>
          <wp14:sizeRelH relativeFrom="page">
            <wp14:pctWidth>0</wp14:pctWidth>
          </wp14:sizeRelH>
          <wp14:sizeRelV relativeFrom="page">
            <wp14:pctHeight>0</wp14:pctHeight>
          </wp14:sizeRelV>
        </wp:anchor>
      </w:drawing>
    </w:r>
    <w:r w:rsidR="002F5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FD355E"/>
    <w:multiLevelType w:val="hybridMultilevel"/>
    <w:tmpl w:val="0D32B10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BCD4D2A"/>
    <w:multiLevelType w:val="hybridMultilevel"/>
    <w:tmpl w:val="71369588"/>
    <w:lvl w:ilvl="0" w:tplc="7952A092">
      <w:start w:val="1"/>
      <w:numFmt w:val="decimal"/>
      <w:pStyle w:val="NumberedListIndent"/>
      <w:lvlText w:val="%1."/>
      <w:lvlJc w:val="right"/>
      <w:pPr>
        <w:ind w:left="720" w:hanging="210"/>
      </w:pPr>
      <w:rPr>
        <w:rFonts w:ascii="Arial" w:hAnsi="Arial" w:cs="Times New Roman" w:hint="default"/>
        <w:b/>
        <w:i w:val="0"/>
        <w:color w:val="0081C6" w:themeColor="accent1"/>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11763"/>
    <w:multiLevelType w:val="hybridMultilevel"/>
    <w:tmpl w:val="FBFC9CAE"/>
    <w:lvl w:ilvl="0" w:tplc="ED4044F0">
      <w:start w:val="1"/>
      <w:numFmt w:val="bullet"/>
      <w:pStyle w:val="BulletsIndent"/>
      <w:lvlText w:val=""/>
      <w:lvlJc w:val="left"/>
      <w:pPr>
        <w:ind w:left="720" w:hanging="36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45332"/>
    <w:multiLevelType w:val="hybridMultilevel"/>
    <w:tmpl w:val="D2F6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E3B0B"/>
    <w:multiLevelType w:val="singleLevel"/>
    <w:tmpl w:val="63C03666"/>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2F046A7A"/>
    <w:multiLevelType w:val="multilevel"/>
    <w:tmpl w:val="DDA6AC0E"/>
    <w:lvl w:ilvl="0">
      <w:start w:val="1"/>
      <w:numFmt w:val="decimal"/>
      <w:lvlText w:val="%1."/>
      <w:lvlJc w:val="left"/>
      <w:pPr>
        <w:tabs>
          <w:tab w:val="num" w:pos="340"/>
        </w:tabs>
        <w:ind w:left="340" w:hanging="340"/>
      </w:pPr>
      <w:rPr>
        <w:rFonts w:ascii="Arial" w:hAnsi="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7" w15:restartNumberingAfterBreak="0">
    <w:nsid w:val="2FB15A17"/>
    <w:multiLevelType w:val="multilevel"/>
    <w:tmpl w:val="F844E1C2"/>
    <w:lvl w:ilvl="0">
      <w:start w:val="1"/>
      <w:numFmt w:val="bullet"/>
      <w:lvlText w:val="·"/>
      <w:lvlJc w:val="left"/>
      <w:pPr>
        <w:tabs>
          <w:tab w:val="left" w:pos="360"/>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DD7409"/>
    <w:multiLevelType w:val="hybridMultilevel"/>
    <w:tmpl w:val="AE14D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444CD7"/>
    <w:multiLevelType w:val="multilevel"/>
    <w:tmpl w:val="AF141364"/>
    <w:lvl w:ilvl="0">
      <w:start w:val="1"/>
      <w:numFmt w:val="decimal"/>
      <w:isLgl/>
      <w:lvlText w:val="%1."/>
      <w:lvlJc w:val="left"/>
      <w:pPr>
        <w:tabs>
          <w:tab w:val="num" w:pos="680"/>
        </w:tabs>
        <w:ind w:left="680" w:hanging="680"/>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3423B7"/>
    <w:multiLevelType w:val="hybridMultilevel"/>
    <w:tmpl w:val="59766A8A"/>
    <w:lvl w:ilvl="0" w:tplc="0C09000F">
      <w:start w:val="1"/>
      <w:numFmt w:val="decimal"/>
      <w:lvlText w:val="%1."/>
      <w:lvlJc w:val="left"/>
      <w:pPr>
        <w:tabs>
          <w:tab w:val="num" w:pos="360"/>
        </w:tabs>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1" w15:restartNumberingAfterBreak="0">
    <w:nsid w:val="39A52A82"/>
    <w:multiLevelType w:val="hybridMultilevel"/>
    <w:tmpl w:val="ACB658D8"/>
    <w:lvl w:ilvl="0" w:tplc="E502FBE2">
      <w:start w:val="1"/>
      <w:numFmt w:val="decimal"/>
      <w:pStyle w:val="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33D3E"/>
    <w:multiLevelType w:val="hybridMultilevel"/>
    <w:tmpl w:val="782CA72E"/>
    <w:lvl w:ilvl="0" w:tplc="5922F03A">
      <w:start w:val="1"/>
      <w:numFmt w:val="bullet"/>
      <w:pStyle w:val="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00487"/>
    <w:multiLevelType w:val="hybridMultilevel"/>
    <w:tmpl w:val="DF16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0191D"/>
    <w:multiLevelType w:val="hybridMultilevel"/>
    <w:tmpl w:val="62B07B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591CAA"/>
    <w:multiLevelType w:val="hybridMultilevel"/>
    <w:tmpl w:val="BCAA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17936"/>
    <w:multiLevelType w:val="hybridMultilevel"/>
    <w:tmpl w:val="DDE4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F1025"/>
    <w:multiLevelType w:val="hybridMultilevel"/>
    <w:tmpl w:val="BD4695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F31D73"/>
    <w:multiLevelType w:val="singleLevel"/>
    <w:tmpl w:val="197C3362"/>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5E67719F"/>
    <w:multiLevelType w:val="multilevel"/>
    <w:tmpl w:val="9378FF04"/>
    <w:lvl w:ilvl="0">
      <w:start w:val="1"/>
      <w:numFmt w:val="decimal"/>
      <w:lvlText w:val="%1."/>
      <w:lvlJc w:val="right"/>
      <w:pPr>
        <w:ind w:left="680" w:hanging="170"/>
      </w:pPr>
      <w:rPr>
        <w:rFonts w:ascii="Arial" w:hAnsi="Arial" w:cs="Times New Roman" w:hint="default"/>
        <w:b/>
        <w:i w:val="0"/>
        <w:color w:val="0081C6" w:themeColor="accent1"/>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cs="Times New Roman" w:hint="default"/>
      </w:rPr>
    </w:lvl>
    <w:lvl w:ilvl="1">
      <w:start w:val="1"/>
      <w:numFmt w:val="decimal"/>
      <w:lvlRestart w:val="0"/>
      <w:pStyle w:val="DHHSnumberdigitindent"/>
      <w:lvlText w:val="%2."/>
      <w:lvlJc w:val="left"/>
      <w:pPr>
        <w:tabs>
          <w:tab w:val="num" w:pos="794"/>
        </w:tabs>
        <w:ind w:left="794" w:hanging="397"/>
      </w:pPr>
      <w:rPr>
        <w:rFonts w:cs="Times New Roman" w:hint="default"/>
      </w:rPr>
    </w:lvl>
    <w:lvl w:ilvl="2">
      <w:start w:val="1"/>
      <w:numFmt w:val="lowerLetter"/>
      <w:lvlRestart w:val="0"/>
      <w:pStyle w:val="DHHSnumberloweralpha"/>
      <w:lvlText w:val="(%3)"/>
      <w:lvlJc w:val="left"/>
      <w:pPr>
        <w:tabs>
          <w:tab w:val="num" w:pos="397"/>
        </w:tabs>
        <w:ind w:left="397" w:hanging="397"/>
      </w:pPr>
      <w:rPr>
        <w:rFonts w:cs="Times New Roman" w:hint="default"/>
      </w:rPr>
    </w:lvl>
    <w:lvl w:ilvl="3">
      <w:start w:val="1"/>
      <w:numFmt w:val="lowerLetter"/>
      <w:lvlRestart w:val="0"/>
      <w:pStyle w:val="DHHSnumberloweralphaindent"/>
      <w:lvlText w:val="(%4)"/>
      <w:lvlJc w:val="left"/>
      <w:pPr>
        <w:tabs>
          <w:tab w:val="num" w:pos="794"/>
        </w:tabs>
        <w:ind w:left="794" w:hanging="397"/>
      </w:pPr>
      <w:rPr>
        <w:rFonts w:cs="Times New Roman" w:hint="default"/>
      </w:rPr>
    </w:lvl>
    <w:lvl w:ilvl="4">
      <w:start w:val="1"/>
      <w:numFmt w:val="lowerRoman"/>
      <w:lvlRestart w:val="0"/>
      <w:pStyle w:val="DHHSnumberlowerroman"/>
      <w:lvlText w:val="(%5)"/>
      <w:lvlJc w:val="left"/>
      <w:pPr>
        <w:tabs>
          <w:tab w:val="num" w:pos="397"/>
        </w:tabs>
        <w:ind w:left="397" w:hanging="397"/>
      </w:pPr>
      <w:rPr>
        <w:rFonts w:cs="Times New Roman" w:hint="default"/>
      </w:rPr>
    </w:lvl>
    <w:lvl w:ilvl="5">
      <w:start w:val="1"/>
      <w:numFmt w:val="lowerRoman"/>
      <w:lvlRestart w:val="0"/>
      <w:pStyle w:val="DHHSnumberlowerromanindent"/>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21" w15:restartNumberingAfterBreak="0">
    <w:nsid w:val="79337403"/>
    <w:multiLevelType w:val="hybridMultilevel"/>
    <w:tmpl w:val="FECA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D7790"/>
    <w:multiLevelType w:val="hybridMultilevel"/>
    <w:tmpl w:val="2700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3"/>
  </w:num>
  <w:num w:numId="5">
    <w:abstractNumId w:val="0"/>
  </w:num>
  <w:num w:numId="6">
    <w:abstractNumId w:val="19"/>
  </w:num>
  <w:num w:numId="7">
    <w:abstractNumId w:val="9"/>
  </w:num>
  <w:num w:numId="8">
    <w:abstractNumId w:val="12"/>
  </w:num>
  <w:num w:numId="9">
    <w:abstractNumId w:val="3"/>
  </w:num>
  <w:num w:numId="10">
    <w:abstractNumId w:val="11"/>
  </w:num>
  <w:num w:numId="11">
    <w:abstractNumId w:val="2"/>
  </w:num>
  <w:num w:numId="12">
    <w:abstractNumId w:val="0"/>
  </w:num>
  <w:num w:numId="13">
    <w:abstractNumId w:val="14"/>
  </w:num>
  <w:num w:numId="14">
    <w:abstractNumId w:val="1"/>
  </w:num>
  <w:num w:numId="15">
    <w:abstractNumId w:val="7"/>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5"/>
  </w:num>
  <w:num w:numId="30">
    <w:abstractNumId w:val="3"/>
  </w:num>
  <w:num w:numId="31">
    <w:abstractNumId w:val="6"/>
  </w:num>
  <w:num w:numId="32">
    <w:abstractNumId w:val="8"/>
  </w:num>
  <w:num w:numId="33">
    <w:abstractNumId w:val="21"/>
  </w:num>
  <w:num w:numId="34">
    <w:abstractNumId w:val="4"/>
  </w:num>
  <w:num w:numId="35">
    <w:abstractNumId w:val="16"/>
  </w:num>
  <w:num w:numId="36">
    <w:abstractNumId w:val="22"/>
  </w:num>
  <w:num w:numId="37">
    <w:abstractNumId w:val="17"/>
  </w:num>
  <w:num w:numId="38">
    <w:abstractNumId w:val="20"/>
  </w:num>
  <w:num w:numId="39">
    <w:abstractNumId w:val="10"/>
  </w:num>
  <w:num w:numId="40">
    <w:abstractNumId w:val="13"/>
  </w:num>
  <w:num w:numId="41">
    <w:abstractNumId w:val="3"/>
  </w:num>
  <w:num w:numId="42">
    <w:abstractNumId w:val="3"/>
  </w:num>
  <w:num w:numId="43">
    <w:abstractNumId w:val="3"/>
  </w:num>
  <w:num w:numId="44">
    <w:abstractNumId w:val="15"/>
  </w:num>
  <w:num w:numId="45">
    <w:abstractNumId w:val="3"/>
  </w:num>
  <w:num w:numId="46">
    <w:abstractNumId w:val="3"/>
  </w:num>
  <w:num w:numId="47">
    <w:abstractNumId w:val="3"/>
  </w:num>
  <w:num w:numId="48">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efaultTableStyle w:val="TableGrid"/>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3A0"/>
    <w:rsid w:val="00015E21"/>
    <w:rsid w:val="00023D07"/>
    <w:rsid w:val="00025BD0"/>
    <w:rsid w:val="0003097E"/>
    <w:rsid w:val="0004640A"/>
    <w:rsid w:val="0006065C"/>
    <w:rsid w:val="00070DDC"/>
    <w:rsid w:val="000862B5"/>
    <w:rsid w:val="0009143D"/>
    <w:rsid w:val="00093D0D"/>
    <w:rsid w:val="00095C7A"/>
    <w:rsid w:val="000A44E0"/>
    <w:rsid w:val="000B02F4"/>
    <w:rsid w:val="000B7FA0"/>
    <w:rsid w:val="000C0969"/>
    <w:rsid w:val="000C1FA3"/>
    <w:rsid w:val="000E045D"/>
    <w:rsid w:val="000E1DEC"/>
    <w:rsid w:val="000E289B"/>
    <w:rsid w:val="000E493C"/>
    <w:rsid w:val="000F2EFA"/>
    <w:rsid w:val="00100929"/>
    <w:rsid w:val="00103164"/>
    <w:rsid w:val="00117634"/>
    <w:rsid w:val="00120DBE"/>
    <w:rsid w:val="00122EDC"/>
    <w:rsid w:val="001319CB"/>
    <w:rsid w:val="00160B8F"/>
    <w:rsid w:val="00162F32"/>
    <w:rsid w:val="001665F7"/>
    <w:rsid w:val="00170AC0"/>
    <w:rsid w:val="00197BE5"/>
    <w:rsid w:val="001A5627"/>
    <w:rsid w:val="001A6719"/>
    <w:rsid w:val="001A67DF"/>
    <w:rsid w:val="001B045C"/>
    <w:rsid w:val="001B35E7"/>
    <w:rsid w:val="001B6B00"/>
    <w:rsid w:val="001C1B1D"/>
    <w:rsid w:val="001C519B"/>
    <w:rsid w:val="001D0D85"/>
    <w:rsid w:val="001E01B3"/>
    <w:rsid w:val="001F4C50"/>
    <w:rsid w:val="00227D5E"/>
    <w:rsid w:val="00227E88"/>
    <w:rsid w:val="00237397"/>
    <w:rsid w:val="002501B1"/>
    <w:rsid w:val="00273D02"/>
    <w:rsid w:val="002963CB"/>
    <w:rsid w:val="002A0706"/>
    <w:rsid w:val="002C141E"/>
    <w:rsid w:val="002C6AB4"/>
    <w:rsid w:val="002E4540"/>
    <w:rsid w:val="002E6BA9"/>
    <w:rsid w:val="002F1A1B"/>
    <w:rsid w:val="002F21C2"/>
    <w:rsid w:val="002F54AD"/>
    <w:rsid w:val="003535E8"/>
    <w:rsid w:val="0035542F"/>
    <w:rsid w:val="00374824"/>
    <w:rsid w:val="003A3AEA"/>
    <w:rsid w:val="003C4FC9"/>
    <w:rsid w:val="003C75F4"/>
    <w:rsid w:val="003C7E82"/>
    <w:rsid w:val="003E23A0"/>
    <w:rsid w:val="003E3140"/>
    <w:rsid w:val="003E397D"/>
    <w:rsid w:val="00423FE5"/>
    <w:rsid w:val="00456792"/>
    <w:rsid w:val="00481CEC"/>
    <w:rsid w:val="00483B1A"/>
    <w:rsid w:val="00486911"/>
    <w:rsid w:val="004934BD"/>
    <w:rsid w:val="00495D7E"/>
    <w:rsid w:val="004A58F2"/>
    <w:rsid w:val="004B1EEA"/>
    <w:rsid w:val="004C7DD5"/>
    <w:rsid w:val="00512ADE"/>
    <w:rsid w:val="00521734"/>
    <w:rsid w:val="005323B7"/>
    <w:rsid w:val="00540758"/>
    <w:rsid w:val="00540EE9"/>
    <w:rsid w:val="005662D8"/>
    <w:rsid w:val="00570DBD"/>
    <w:rsid w:val="00571223"/>
    <w:rsid w:val="00580147"/>
    <w:rsid w:val="005A3D52"/>
    <w:rsid w:val="005B410A"/>
    <w:rsid w:val="005F0296"/>
    <w:rsid w:val="00624E78"/>
    <w:rsid w:val="0066370C"/>
    <w:rsid w:val="00680A10"/>
    <w:rsid w:val="00691573"/>
    <w:rsid w:val="006A2E86"/>
    <w:rsid w:val="006A31B1"/>
    <w:rsid w:val="006A40D9"/>
    <w:rsid w:val="006B3081"/>
    <w:rsid w:val="006B419E"/>
    <w:rsid w:val="006C2AC3"/>
    <w:rsid w:val="006D3519"/>
    <w:rsid w:val="006F20EE"/>
    <w:rsid w:val="006F3837"/>
    <w:rsid w:val="007020CF"/>
    <w:rsid w:val="00703875"/>
    <w:rsid w:val="00712708"/>
    <w:rsid w:val="00723CBD"/>
    <w:rsid w:val="00732424"/>
    <w:rsid w:val="0079685D"/>
    <w:rsid w:val="007B0E2A"/>
    <w:rsid w:val="007B74A6"/>
    <w:rsid w:val="007C4024"/>
    <w:rsid w:val="007D5751"/>
    <w:rsid w:val="007E5314"/>
    <w:rsid w:val="007E7338"/>
    <w:rsid w:val="007F04A4"/>
    <w:rsid w:val="007F4BE3"/>
    <w:rsid w:val="00804BBD"/>
    <w:rsid w:val="008139DC"/>
    <w:rsid w:val="00820F3A"/>
    <w:rsid w:val="00825C18"/>
    <w:rsid w:val="00833925"/>
    <w:rsid w:val="00840A47"/>
    <w:rsid w:val="00854F9A"/>
    <w:rsid w:val="00865844"/>
    <w:rsid w:val="008739D4"/>
    <w:rsid w:val="00882DC7"/>
    <w:rsid w:val="00884755"/>
    <w:rsid w:val="008928DA"/>
    <w:rsid w:val="0089328A"/>
    <w:rsid w:val="00894DA1"/>
    <w:rsid w:val="0089584C"/>
    <w:rsid w:val="00897746"/>
    <w:rsid w:val="008C422C"/>
    <w:rsid w:val="008E2B07"/>
    <w:rsid w:val="008E3863"/>
    <w:rsid w:val="00913E98"/>
    <w:rsid w:val="0091660F"/>
    <w:rsid w:val="00940906"/>
    <w:rsid w:val="00951343"/>
    <w:rsid w:val="00952D9E"/>
    <w:rsid w:val="00997284"/>
    <w:rsid w:val="009A0442"/>
    <w:rsid w:val="009A21E1"/>
    <w:rsid w:val="009C1D17"/>
    <w:rsid w:val="009D23D5"/>
    <w:rsid w:val="009E2A60"/>
    <w:rsid w:val="009E4012"/>
    <w:rsid w:val="00A22A9B"/>
    <w:rsid w:val="00A31C56"/>
    <w:rsid w:val="00A33B8F"/>
    <w:rsid w:val="00A35C81"/>
    <w:rsid w:val="00A36846"/>
    <w:rsid w:val="00A525D1"/>
    <w:rsid w:val="00A52AFB"/>
    <w:rsid w:val="00A537A9"/>
    <w:rsid w:val="00A54399"/>
    <w:rsid w:val="00A642F5"/>
    <w:rsid w:val="00A74DBB"/>
    <w:rsid w:val="00A86699"/>
    <w:rsid w:val="00AA1265"/>
    <w:rsid w:val="00AC1D54"/>
    <w:rsid w:val="00AC2D29"/>
    <w:rsid w:val="00AC4580"/>
    <w:rsid w:val="00AE6996"/>
    <w:rsid w:val="00AF272B"/>
    <w:rsid w:val="00AF28B0"/>
    <w:rsid w:val="00B5241A"/>
    <w:rsid w:val="00B52F52"/>
    <w:rsid w:val="00B66E9F"/>
    <w:rsid w:val="00B67F19"/>
    <w:rsid w:val="00B80F59"/>
    <w:rsid w:val="00B93C0A"/>
    <w:rsid w:val="00BA2E51"/>
    <w:rsid w:val="00BA7C7A"/>
    <w:rsid w:val="00BC4095"/>
    <w:rsid w:val="00BC6A65"/>
    <w:rsid w:val="00BE3817"/>
    <w:rsid w:val="00BE5F14"/>
    <w:rsid w:val="00BF0C3C"/>
    <w:rsid w:val="00BF3B00"/>
    <w:rsid w:val="00BF6B19"/>
    <w:rsid w:val="00BF751E"/>
    <w:rsid w:val="00C00AF9"/>
    <w:rsid w:val="00C10F03"/>
    <w:rsid w:val="00C16800"/>
    <w:rsid w:val="00C26129"/>
    <w:rsid w:val="00C432CA"/>
    <w:rsid w:val="00C53803"/>
    <w:rsid w:val="00C74155"/>
    <w:rsid w:val="00C74A32"/>
    <w:rsid w:val="00C80BD7"/>
    <w:rsid w:val="00C80D26"/>
    <w:rsid w:val="00C84BA0"/>
    <w:rsid w:val="00C90D71"/>
    <w:rsid w:val="00C92AC1"/>
    <w:rsid w:val="00C97C03"/>
    <w:rsid w:val="00CA104D"/>
    <w:rsid w:val="00CA2D83"/>
    <w:rsid w:val="00CC29F9"/>
    <w:rsid w:val="00D0273B"/>
    <w:rsid w:val="00D05902"/>
    <w:rsid w:val="00D06457"/>
    <w:rsid w:val="00D61471"/>
    <w:rsid w:val="00D660DB"/>
    <w:rsid w:val="00D74EB4"/>
    <w:rsid w:val="00D86EF5"/>
    <w:rsid w:val="00DA22B9"/>
    <w:rsid w:val="00DA3BB6"/>
    <w:rsid w:val="00DB01C6"/>
    <w:rsid w:val="00DB29DD"/>
    <w:rsid w:val="00DB2CFB"/>
    <w:rsid w:val="00DB4033"/>
    <w:rsid w:val="00DF4DDD"/>
    <w:rsid w:val="00DF7586"/>
    <w:rsid w:val="00E10FED"/>
    <w:rsid w:val="00E150C2"/>
    <w:rsid w:val="00E33E92"/>
    <w:rsid w:val="00E34FF4"/>
    <w:rsid w:val="00E3601B"/>
    <w:rsid w:val="00E41D99"/>
    <w:rsid w:val="00E475FB"/>
    <w:rsid w:val="00E54035"/>
    <w:rsid w:val="00E62A5B"/>
    <w:rsid w:val="00E71244"/>
    <w:rsid w:val="00E72499"/>
    <w:rsid w:val="00E81AAF"/>
    <w:rsid w:val="00EB4BBB"/>
    <w:rsid w:val="00EC0031"/>
    <w:rsid w:val="00EC0400"/>
    <w:rsid w:val="00EE6281"/>
    <w:rsid w:val="00EF4CF3"/>
    <w:rsid w:val="00F03B3A"/>
    <w:rsid w:val="00F16C6E"/>
    <w:rsid w:val="00F404EA"/>
    <w:rsid w:val="00F45CAD"/>
    <w:rsid w:val="00F6011E"/>
    <w:rsid w:val="00F6021C"/>
    <w:rsid w:val="00F6222C"/>
    <w:rsid w:val="00F702E4"/>
    <w:rsid w:val="00F75756"/>
    <w:rsid w:val="00F82431"/>
    <w:rsid w:val="00F965AD"/>
    <w:rsid w:val="00FD33CC"/>
    <w:rsid w:val="00FE3B42"/>
    <w:rsid w:val="00FE6942"/>
    <w:rsid w:val="00FE6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D74A7BA"/>
  <w14:defaultImageDpi w14:val="0"/>
  <w15:docId w15:val="{12D7AF8C-7EC9-434E-BD0C-66C15355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HAnsi"/>
        <w:lang w:val="en-AU"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3B7"/>
    <w:pPr>
      <w:spacing w:before="170"/>
    </w:pPr>
    <w:rPr>
      <w:sz w:val="22"/>
    </w:rPr>
  </w:style>
  <w:style w:type="paragraph" w:styleId="Heading1">
    <w:name w:val="heading 1"/>
    <w:basedOn w:val="Normal"/>
    <w:next w:val="Normal"/>
    <w:link w:val="Heading1Char"/>
    <w:uiPriority w:val="2"/>
    <w:qFormat/>
    <w:rsid w:val="00AA1265"/>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AA1265"/>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AA1265"/>
    <w:pPr>
      <w:keepNext/>
      <w:keepLines/>
      <w:spacing w:before="240" w:after="120"/>
      <w:outlineLvl w:val="2"/>
    </w:pPr>
    <w:rPr>
      <w:rFonts w:eastAsiaTheme="majorEastAsia"/>
      <w:b/>
    </w:rPr>
  </w:style>
  <w:style w:type="paragraph" w:styleId="Heading4">
    <w:name w:val="heading 4"/>
    <w:basedOn w:val="Normal"/>
    <w:next w:val="Normal"/>
    <w:link w:val="Heading4Char"/>
    <w:uiPriority w:val="2"/>
    <w:qFormat/>
    <w:rsid w:val="00AA1265"/>
    <w:pPr>
      <w:keepNext/>
      <w:keepLines/>
      <w:spacing w:before="240" w:after="120"/>
      <w:outlineLvl w:val="3"/>
    </w:pPr>
    <w:rPr>
      <w:rFonts w:eastAsiaTheme="majorEastAsia"/>
      <w:b/>
      <w:i/>
      <w:iCs/>
    </w:rPr>
  </w:style>
  <w:style w:type="paragraph" w:styleId="Heading5">
    <w:name w:val="heading 5"/>
    <w:basedOn w:val="Normal"/>
    <w:next w:val="Normal"/>
    <w:link w:val="Heading5Char"/>
    <w:uiPriority w:val="9"/>
    <w:unhideWhenUsed/>
    <w:qFormat/>
    <w:rsid w:val="00AA1265"/>
    <w:pPr>
      <w:keepNext/>
      <w:keepLines/>
      <w:spacing w:before="40"/>
      <w:outlineLvl w:val="4"/>
    </w:pPr>
    <w:rPr>
      <w:rFonts w:asciiTheme="majorHAnsi" w:eastAsiaTheme="majorEastAsia" w:hAnsiTheme="majorHAnsi" w:cstheme="majorBidi"/>
      <w:color w:val="006094" w:themeColor="accent1" w:themeShade="BF"/>
    </w:rPr>
  </w:style>
  <w:style w:type="paragraph" w:styleId="Heading6">
    <w:name w:val="heading 6"/>
    <w:basedOn w:val="Normal"/>
    <w:next w:val="Normal"/>
    <w:link w:val="Heading6Char"/>
    <w:uiPriority w:val="9"/>
    <w:unhideWhenUsed/>
    <w:qFormat/>
    <w:rsid w:val="00AA1265"/>
    <w:pPr>
      <w:keepNext/>
      <w:keepLines/>
      <w:spacing w:before="40"/>
      <w:outlineLvl w:val="5"/>
    </w:pPr>
    <w:rPr>
      <w:rFonts w:asciiTheme="majorHAnsi" w:eastAsiaTheme="majorEastAsia" w:hAnsiTheme="majorHAnsi" w:cstheme="majorBidi"/>
      <w:color w:val="004062" w:themeColor="accent1" w:themeShade="7F"/>
    </w:rPr>
  </w:style>
  <w:style w:type="paragraph" w:styleId="Heading7">
    <w:name w:val="heading 7"/>
    <w:basedOn w:val="Normal"/>
    <w:next w:val="Normal"/>
    <w:link w:val="Heading7Char"/>
    <w:uiPriority w:val="9"/>
    <w:unhideWhenUsed/>
    <w:qFormat/>
    <w:rsid w:val="00AA126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A126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AA1265"/>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AA1265"/>
    <w:rPr>
      <w:rFonts w:eastAsiaTheme="majorEastAsia"/>
      <w:b/>
      <w:sz w:val="24"/>
      <w:szCs w:val="26"/>
    </w:rPr>
  </w:style>
  <w:style w:type="character" w:customStyle="1" w:styleId="Heading3Char">
    <w:name w:val="Heading 3 Char"/>
    <w:basedOn w:val="DefaultParagraphFont"/>
    <w:link w:val="Heading3"/>
    <w:uiPriority w:val="2"/>
    <w:locked/>
    <w:rsid w:val="00AA1265"/>
    <w:rPr>
      <w:rFonts w:eastAsiaTheme="majorEastAsia"/>
      <w:b/>
    </w:rPr>
  </w:style>
  <w:style w:type="character" w:customStyle="1" w:styleId="Heading4Char">
    <w:name w:val="Heading 4 Char"/>
    <w:basedOn w:val="DefaultParagraphFont"/>
    <w:link w:val="Heading4"/>
    <w:uiPriority w:val="2"/>
    <w:locked/>
    <w:rsid w:val="00AA1265"/>
    <w:rPr>
      <w:rFonts w:eastAsiaTheme="majorEastAsia"/>
      <w:b/>
      <w:i/>
      <w:iCs/>
    </w:rPr>
  </w:style>
  <w:style w:type="paragraph" w:customStyle="1" w:styleId="TextIndent1">
    <w:name w:val="Text Indent 1"/>
    <w:basedOn w:val="Normal"/>
    <w:autoRedefine/>
    <w:uiPriority w:val="1"/>
    <w:qFormat/>
    <w:rsid w:val="00AA1265"/>
    <w:pPr>
      <w:ind w:left="340"/>
    </w:pPr>
  </w:style>
  <w:style w:type="paragraph" w:customStyle="1" w:styleId="TextIndent2">
    <w:name w:val="Text Indent 2"/>
    <w:basedOn w:val="TextIndent1"/>
    <w:next w:val="TextIndent1"/>
    <w:uiPriority w:val="1"/>
    <w:qFormat/>
    <w:rsid w:val="00AA1265"/>
    <w:pPr>
      <w:ind w:left="680"/>
    </w:pPr>
  </w:style>
  <w:style w:type="paragraph" w:customStyle="1" w:styleId="Bullets">
    <w:name w:val="Bullets"/>
    <w:basedOn w:val="Normal"/>
    <w:uiPriority w:val="3"/>
    <w:qFormat/>
    <w:rsid w:val="00AA1265"/>
    <w:pPr>
      <w:numPr>
        <w:numId w:val="8"/>
      </w:numPr>
      <w:spacing w:before="40" w:after="40"/>
    </w:pPr>
  </w:style>
  <w:style w:type="paragraph" w:customStyle="1" w:styleId="BulletsIndent">
    <w:name w:val="Bullets Indent"/>
    <w:basedOn w:val="Bullets"/>
    <w:uiPriority w:val="3"/>
    <w:qFormat/>
    <w:rsid w:val="00AA1265"/>
    <w:pPr>
      <w:numPr>
        <w:numId w:val="9"/>
      </w:numPr>
    </w:pPr>
  </w:style>
  <w:style w:type="paragraph" w:styleId="Title">
    <w:name w:val="Title"/>
    <w:basedOn w:val="Normal"/>
    <w:next w:val="Normal"/>
    <w:link w:val="TitleChar"/>
    <w:uiPriority w:val="2"/>
    <w:qFormat/>
    <w:rsid w:val="00AA1265"/>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AA1265"/>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AA1265"/>
    <w:rPr>
      <w:sz w:val="40"/>
    </w:rPr>
  </w:style>
  <w:style w:type="paragraph" w:customStyle="1" w:styleId="NumberedList">
    <w:name w:val="Numbered List"/>
    <w:basedOn w:val="Bullets"/>
    <w:uiPriority w:val="3"/>
    <w:qFormat/>
    <w:rsid w:val="00AA1265"/>
    <w:pPr>
      <w:numPr>
        <w:numId w:val="10"/>
      </w:numPr>
    </w:pPr>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TableHeader">
    <w:name w:val="Table Header"/>
    <w:basedOn w:val="Normal"/>
    <w:uiPriority w:val="4"/>
    <w:qFormat/>
    <w:rsid w:val="00AA1265"/>
    <w:pPr>
      <w:spacing w:before="0"/>
    </w:pPr>
    <w:rPr>
      <w:b/>
      <w:color w:val="FFFFFF" w:themeColor="background1"/>
      <w:sz w:val="21"/>
    </w:rPr>
  </w:style>
  <w:style w:type="paragraph" w:customStyle="1" w:styleId="TableSubhead">
    <w:name w:val="Table Sub head"/>
    <w:basedOn w:val="TableHeader"/>
    <w:uiPriority w:val="4"/>
    <w:qFormat/>
    <w:rsid w:val="00AA1265"/>
  </w:style>
  <w:style w:type="paragraph" w:customStyle="1" w:styleId="CCYPText">
    <w:name w:val="CCYP Text"/>
    <w:basedOn w:val="Normal"/>
    <w:uiPriority w:val="9"/>
    <w:unhideWhenUsed/>
    <w:qFormat/>
    <w:rsid w:val="00AA1265"/>
  </w:style>
  <w:style w:type="paragraph" w:customStyle="1" w:styleId="TableText">
    <w:name w:val="Table Text"/>
    <w:basedOn w:val="Normal"/>
    <w:uiPriority w:val="4"/>
    <w:qFormat/>
    <w:rsid w:val="00AA1265"/>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TableTextBold">
    <w:name w:val="Table Text Bold"/>
    <w:basedOn w:val="TableText"/>
    <w:uiPriority w:val="4"/>
    <w:qFormat/>
    <w:rsid w:val="00AA1265"/>
    <w:rPr>
      <w:b/>
      <w:bCs/>
    </w:rPr>
  </w:style>
  <w:style w:type="paragraph" w:customStyle="1" w:styleId="NumberedListIndent">
    <w:name w:val="Numbered List Indent"/>
    <w:basedOn w:val="BulletsIndent"/>
    <w:uiPriority w:val="3"/>
    <w:qFormat/>
    <w:rsid w:val="00AA1265"/>
    <w:pPr>
      <w:numPr>
        <w:numId w:val="11"/>
      </w:numPr>
    </w:pPr>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C75F4"/>
    <w:pPr>
      <w:jc w:val="center"/>
    </w:pPr>
    <w:rPr>
      <w:color w:val="262626" w:themeColor="text1" w:themeTint="D9"/>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TableTextInfo">
    <w:name w:val="Table Text Info"/>
    <w:basedOn w:val="CCYPText"/>
    <w:uiPriority w:val="4"/>
    <w:qFormat/>
    <w:rsid w:val="00AA1265"/>
    <w:pPr>
      <w:spacing w:before="0"/>
      <w:jc w:val="center"/>
    </w:pPr>
    <w:rPr>
      <w:color w:val="262626" w:themeColor="text1" w:themeTint="D9"/>
      <w:sz w:val="14"/>
    </w:rPr>
  </w:style>
  <w:style w:type="paragraph" w:customStyle="1" w:styleId="p1">
    <w:name w:val="p1"/>
    <w:basedOn w:val="Normal"/>
    <w:uiPriority w:val="9"/>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AA1265"/>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styleId="NormalWeb">
    <w:name w:val="Normal (Web)"/>
    <w:basedOn w:val="Normal"/>
    <w:uiPriority w:val="99"/>
    <w:semiHidden/>
    <w:unhideWhenUsed/>
    <w:rsid w:val="005A3D52"/>
    <w:pPr>
      <w:spacing w:before="100" w:beforeAutospacing="1" w:after="100" w:afterAutospacing="1"/>
    </w:pPr>
    <w:rPr>
      <w:rFonts w:ascii="Times New Roman" w:eastAsiaTheme="minorEastAsia" w:hAnsi="Times New Roman"/>
      <w:sz w:val="24"/>
      <w:lang w:val="en-US"/>
    </w:rPr>
  </w:style>
  <w:style w:type="table" w:customStyle="1" w:styleId="TableGridLight2">
    <w:name w:val="Table Grid Light2"/>
    <w:basedOn w:val="TableNormal"/>
    <w:uiPriority w:val="40"/>
    <w:rsid w:val="00723C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723C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723C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8Char">
    <w:name w:val="Heading 8 Char"/>
    <w:basedOn w:val="DefaultParagraphFont"/>
    <w:link w:val="Heading8"/>
    <w:uiPriority w:val="9"/>
    <w:rsid w:val="00AA1265"/>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AA126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AA1265"/>
    <w:rPr>
      <w:rFonts w:asciiTheme="minorHAnsi" w:eastAsiaTheme="minorEastAsia" w:hAnsiTheme="minorHAnsi" w:cstheme="minorBidi"/>
      <w:color w:val="5A5A5A" w:themeColor="text1" w:themeTint="A5"/>
      <w:spacing w:val="15"/>
      <w:sz w:val="22"/>
      <w:szCs w:val="22"/>
    </w:rPr>
  </w:style>
  <w:style w:type="paragraph" w:customStyle="1" w:styleId="NumberedHeading">
    <w:name w:val="Numbered Heading"/>
    <w:basedOn w:val="Heading1"/>
    <w:uiPriority w:val="2"/>
    <w:qFormat/>
    <w:rsid w:val="00AA1265"/>
    <w:pPr>
      <w:numPr>
        <w:numId w:val="12"/>
      </w:numPr>
      <w:spacing w:before="160" w:after="160"/>
    </w:pPr>
    <w:rPr>
      <w:color w:val="auto"/>
    </w:rPr>
  </w:style>
  <w:style w:type="character" w:customStyle="1" w:styleId="Heading5Char">
    <w:name w:val="Heading 5 Char"/>
    <w:basedOn w:val="DefaultParagraphFont"/>
    <w:link w:val="Heading5"/>
    <w:uiPriority w:val="9"/>
    <w:rsid w:val="00AA1265"/>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rsid w:val="00AA1265"/>
    <w:rPr>
      <w:rFonts w:asciiTheme="majorHAnsi" w:eastAsiaTheme="majorEastAsia" w:hAnsiTheme="majorHAnsi" w:cstheme="majorBidi"/>
      <w:color w:val="004062" w:themeColor="accent1" w:themeShade="7F"/>
    </w:rPr>
  </w:style>
  <w:style w:type="character" w:styleId="Emphasis">
    <w:name w:val="Emphasis"/>
    <w:basedOn w:val="DefaultParagraphFont"/>
    <w:uiPriority w:val="5"/>
    <w:qFormat/>
    <w:rsid w:val="00AA1265"/>
    <w:rPr>
      <w:i/>
      <w:iCs/>
    </w:rPr>
  </w:style>
  <w:style w:type="character" w:styleId="IntenseEmphasis">
    <w:name w:val="Intense Emphasis"/>
    <w:basedOn w:val="DefaultParagraphFont"/>
    <w:uiPriority w:val="5"/>
    <w:qFormat/>
    <w:rsid w:val="00AA1265"/>
    <w:rPr>
      <w:b/>
      <w:bCs/>
      <w:i/>
      <w:iCs/>
      <w:color w:val="0081C6" w:themeColor="accent1"/>
    </w:rPr>
  </w:style>
  <w:style w:type="character" w:styleId="SubtleEmphasis">
    <w:name w:val="Subtle Emphasis"/>
    <w:basedOn w:val="DefaultParagraphFont"/>
    <w:uiPriority w:val="5"/>
    <w:qFormat/>
    <w:rsid w:val="00AA1265"/>
    <w:rPr>
      <w:i/>
      <w:iCs/>
      <w:color w:val="808080" w:themeColor="text1" w:themeTint="7F"/>
    </w:rPr>
  </w:style>
  <w:style w:type="paragraph" w:styleId="Quote">
    <w:name w:val="Quote"/>
    <w:basedOn w:val="Normal"/>
    <w:next w:val="Normal"/>
    <w:link w:val="QuoteChar"/>
    <w:uiPriority w:val="5"/>
    <w:qFormat/>
    <w:rsid w:val="00AA1265"/>
    <w:rPr>
      <w:i/>
      <w:iCs/>
      <w:color w:val="000000" w:themeColor="text1"/>
    </w:rPr>
  </w:style>
  <w:style w:type="character" w:customStyle="1" w:styleId="QuoteChar">
    <w:name w:val="Quote Char"/>
    <w:basedOn w:val="DefaultParagraphFont"/>
    <w:link w:val="Quote"/>
    <w:uiPriority w:val="5"/>
    <w:rsid w:val="00AA1265"/>
    <w:rPr>
      <w:i/>
      <w:iCs/>
      <w:color w:val="000000" w:themeColor="text1"/>
    </w:rPr>
  </w:style>
  <w:style w:type="character" w:styleId="SubtleReference">
    <w:name w:val="Subtle Reference"/>
    <w:basedOn w:val="DefaultParagraphFont"/>
    <w:uiPriority w:val="31"/>
    <w:qFormat/>
    <w:rsid w:val="00AA1265"/>
    <w:rPr>
      <w:smallCaps/>
      <w:color w:val="F68A33" w:themeColor="accent2"/>
      <w:u w:val="single"/>
    </w:rPr>
  </w:style>
  <w:style w:type="paragraph" w:styleId="IntenseQuote">
    <w:name w:val="Intense Quote"/>
    <w:basedOn w:val="Normal"/>
    <w:next w:val="Normal"/>
    <w:link w:val="IntenseQuoteChar"/>
    <w:uiPriority w:val="5"/>
    <w:qFormat/>
    <w:rsid w:val="00AA1265"/>
    <w:pPr>
      <w:pBdr>
        <w:bottom w:val="single" w:sz="4" w:space="4" w:color="0081C6" w:themeColor="accent1"/>
      </w:pBdr>
      <w:spacing w:before="200" w:after="280"/>
      <w:ind w:left="936" w:right="936"/>
    </w:pPr>
    <w:rPr>
      <w:b/>
      <w:bCs/>
      <w:i/>
      <w:iCs/>
      <w:color w:val="0081C6" w:themeColor="accent1"/>
    </w:rPr>
  </w:style>
  <w:style w:type="character" w:customStyle="1" w:styleId="IntenseQuoteChar">
    <w:name w:val="Intense Quote Char"/>
    <w:basedOn w:val="DefaultParagraphFont"/>
    <w:link w:val="IntenseQuote"/>
    <w:uiPriority w:val="5"/>
    <w:rsid w:val="00AA1265"/>
    <w:rPr>
      <w:b/>
      <w:bCs/>
      <w:i/>
      <w:iCs/>
      <w:color w:val="0081C6" w:themeColor="accent1"/>
    </w:rPr>
  </w:style>
  <w:style w:type="character" w:customStyle="1" w:styleId="Heading7Char">
    <w:name w:val="Heading 7 Char"/>
    <w:basedOn w:val="DefaultParagraphFont"/>
    <w:link w:val="Heading7"/>
    <w:uiPriority w:val="9"/>
    <w:rsid w:val="00AA1265"/>
    <w:rPr>
      <w:rFonts w:asciiTheme="majorHAnsi" w:eastAsiaTheme="majorEastAsia" w:hAnsiTheme="majorHAnsi" w:cstheme="majorBidi"/>
      <w:i/>
      <w:iCs/>
      <w:color w:val="404040" w:themeColor="text1" w:themeTint="BF"/>
    </w:rPr>
  </w:style>
  <w:style w:type="character" w:styleId="IntenseReference">
    <w:name w:val="Intense Reference"/>
    <w:basedOn w:val="DefaultParagraphFont"/>
    <w:uiPriority w:val="32"/>
    <w:qFormat/>
    <w:rsid w:val="00AA1265"/>
    <w:rPr>
      <w:b/>
      <w:bCs/>
      <w:smallCaps/>
      <w:color w:val="F68A33" w:themeColor="accent2"/>
      <w:spacing w:val="5"/>
      <w:u w:val="single"/>
    </w:rPr>
  </w:style>
  <w:style w:type="character" w:styleId="BookTitle">
    <w:name w:val="Book Title"/>
    <w:basedOn w:val="DefaultParagraphFont"/>
    <w:uiPriority w:val="33"/>
    <w:qFormat/>
    <w:rsid w:val="00AA1265"/>
    <w:rPr>
      <w:b/>
      <w:bCs/>
      <w:smallCaps/>
      <w:spacing w:val="5"/>
    </w:rPr>
  </w:style>
  <w:style w:type="paragraph" w:styleId="ListParagraph">
    <w:name w:val="List Paragraph"/>
    <w:basedOn w:val="Normal"/>
    <w:uiPriority w:val="34"/>
    <w:qFormat/>
    <w:rsid w:val="00AA1265"/>
    <w:pPr>
      <w:ind w:left="720"/>
      <w:contextualSpacing/>
    </w:pPr>
  </w:style>
  <w:style w:type="paragraph" w:styleId="NoSpacing">
    <w:name w:val="No Spacing"/>
    <w:uiPriority w:val="9"/>
    <w:qFormat/>
    <w:rsid w:val="00AA1265"/>
  </w:style>
  <w:style w:type="paragraph" w:customStyle="1" w:styleId="DHHSbody">
    <w:name w:val="DHHS body"/>
    <w:uiPriority w:val="99"/>
    <w:rsid w:val="00E34FF4"/>
    <w:pPr>
      <w:spacing w:after="120" w:line="270" w:lineRule="atLeast"/>
    </w:pPr>
    <w:rPr>
      <w:rFonts w:cs="Times New Roman"/>
    </w:rPr>
  </w:style>
  <w:style w:type="paragraph" w:customStyle="1" w:styleId="LDStandardBodyText">
    <w:name w:val="LD_Standard_BodyText"/>
    <w:basedOn w:val="Normal"/>
    <w:qFormat/>
    <w:rsid w:val="00B66E9F"/>
    <w:pPr>
      <w:spacing w:before="0" w:after="240"/>
    </w:pPr>
    <w:rPr>
      <w:rFonts w:ascii="Times New Roman" w:eastAsiaTheme="minorHAnsi" w:hAnsi="Times New Roman" w:cstheme="minorBidi"/>
      <w:sz w:val="24"/>
      <w:szCs w:val="24"/>
    </w:rPr>
  </w:style>
  <w:style w:type="paragraph" w:customStyle="1" w:styleId="DHHSnumberdigit">
    <w:name w:val="DHHS number digit"/>
    <w:basedOn w:val="DHHSbody"/>
    <w:uiPriority w:val="99"/>
    <w:rsid w:val="006F20EE"/>
    <w:pPr>
      <w:numPr>
        <w:numId w:val="38"/>
      </w:numPr>
    </w:pPr>
  </w:style>
  <w:style w:type="paragraph" w:customStyle="1" w:styleId="DHHSnumberloweralphaindent">
    <w:name w:val="DHHS number lower alpha indent"/>
    <w:basedOn w:val="DHHSbody"/>
    <w:uiPriority w:val="99"/>
    <w:rsid w:val="006F20EE"/>
    <w:pPr>
      <w:numPr>
        <w:ilvl w:val="3"/>
        <w:numId w:val="38"/>
      </w:numPr>
    </w:pPr>
  </w:style>
  <w:style w:type="paragraph" w:customStyle="1" w:styleId="DHHSnumberdigitindent">
    <w:name w:val="DHHS number digit indent"/>
    <w:basedOn w:val="DHHSnumberloweralphaindent"/>
    <w:uiPriority w:val="99"/>
    <w:rsid w:val="006F20EE"/>
    <w:pPr>
      <w:numPr>
        <w:ilvl w:val="1"/>
      </w:numPr>
    </w:pPr>
  </w:style>
  <w:style w:type="paragraph" w:customStyle="1" w:styleId="DHHSnumberloweralpha">
    <w:name w:val="DHHS number lower alpha"/>
    <w:basedOn w:val="DHHSbody"/>
    <w:uiPriority w:val="99"/>
    <w:rsid w:val="006F20EE"/>
    <w:pPr>
      <w:numPr>
        <w:ilvl w:val="2"/>
        <w:numId w:val="38"/>
      </w:numPr>
    </w:pPr>
  </w:style>
  <w:style w:type="paragraph" w:customStyle="1" w:styleId="DHHSnumberlowerroman">
    <w:name w:val="DHHS number lower roman"/>
    <w:basedOn w:val="DHHSbody"/>
    <w:uiPriority w:val="99"/>
    <w:rsid w:val="006F20EE"/>
    <w:pPr>
      <w:numPr>
        <w:ilvl w:val="4"/>
        <w:numId w:val="38"/>
      </w:numPr>
    </w:pPr>
  </w:style>
  <w:style w:type="paragraph" w:customStyle="1" w:styleId="DHHSnumberlowerromanindent">
    <w:name w:val="DHHS number lower roman indent"/>
    <w:basedOn w:val="DHHSbody"/>
    <w:uiPriority w:val="99"/>
    <w:rsid w:val="006F20EE"/>
    <w:pPr>
      <w:numPr>
        <w:ilvl w:val="5"/>
        <w:numId w:val="38"/>
      </w:numPr>
    </w:pPr>
  </w:style>
  <w:style w:type="numbering" w:customStyle="1" w:styleId="Numbers">
    <w:name w:val="Numbers"/>
    <w:rsid w:val="006F20EE"/>
    <w:pPr>
      <w:numPr>
        <w:numId w:val="38"/>
      </w:numPr>
    </w:pPr>
  </w:style>
  <w:style w:type="character" w:styleId="CommentReference">
    <w:name w:val="annotation reference"/>
    <w:basedOn w:val="DefaultParagraphFont"/>
    <w:uiPriority w:val="99"/>
    <w:semiHidden/>
    <w:unhideWhenUsed/>
    <w:rsid w:val="00F45CAD"/>
    <w:rPr>
      <w:sz w:val="16"/>
      <w:szCs w:val="16"/>
    </w:rPr>
  </w:style>
  <w:style w:type="paragraph" w:styleId="CommentText">
    <w:name w:val="annotation text"/>
    <w:basedOn w:val="Normal"/>
    <w:link w:val="CommentTextChar"/>
    <w:uiPriority w:val="99"/>
    <w:semiHidden/>
    <w:unhideWhenUsed/>
    <w:rsid w:val="00F45CAD"/>
    <w:rPr>
      <w:sz w:val="20"/>
    </w:rPr>
  </w:style>
  <w:style w:type="character" w:customStyle="1" w:styleId="CommentTextChar">
    <w:name w:val="Comment Text Char"/>
    <w:basedOn w:val="DefaultParagraphFont"/>
    <w:link w:val="CommentText"/>
    <w:uiPriority w:val="99"/>
    <w:semiHidden/>
    <w:rsid w:val="00F45CAD"/>
  </w:style>
  <w:style w:type="paragraph" w:styleId="CommentSubject">
    <w:name w:val="annotation subject"/>
    <w:basedOn w:val="CommentText"/>
    <w:next w:val="CommentText"/>
    <w:link w:val="CommentSubjectChar"/>
    <w:uiPriority w:val="99"/>
    <w:semiHidden/>
    <w:unhideWhenUsed/>
    <w:rsid w:val="00F45CAD"/>
    <w:rPr>
      <w:b/>
      <w:bCs/>
    </w:rPr>
  </w:style>
  <w:style w:type="character" w:customStyle="1" w:styleId="CommentSubjectChar">
    <w:name w:val="Comment Subject Char"/>
    <w:basedOn w:val="CommentTextChar"/>
    <w:link w:val="CommentSubject"/>
    <w:uiPriority w:val="99"/>
    <w:semiHidden/>
    <w:rsid w:val="00F45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866">
      <w:bodyDiv w:val="1"/>
      <w:marLeft w:val="0"/>
      <w:marRight w:val="0"/>
      <w:marTop w:val="0"/>
      <w:marBottom w:val="0"/>
      <w:divBdr>
        <w:top w:val="none" w:sz="0" w:space="0" w:color="auto"/>
        <w:left w:val="none" w:sz="0" w:space="0" w:color="auto"/>
        <w:bottom w:val="none" w:sz="0" w:space="0" w:color="auto"/>
        <w:right w:val="none" w:sz="0" w:space="0" w:color="auto"/>
      </w:divBdr>
    </w:div>
    <w:div w:id="63916630">
      <w:bodyDiv w:val="1"/>
      <w:marLeft w:val="0"/>
      <w:marRight w:val="0"/>
      <w:marTop w:val="0"/>
      <w:marBottom w:val="0"/>
      <w:divBdr>
        <w:top w:val="none" w:sz="0" w:space="0" w:color="auto"/>
        <w:left w:val="none" w:sz="0" w:space="0" w:color="auto"/>
        <w:bottom w:val="none" w:sz="0" w:space="0" w:color="auto"/>
        <w:right w:val="none" w:sz="0" w:space="0" w:color="auto"/>
      </w:divBdr>
    </w:div>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548496226">
      <w:bodyDiv w:val="1"/>
      <w:marLeft w:val="0"/>
      <w:marRight w:val="0"/>
      <w:marTop w:val="0"/>
      <w:marBottom w:val="0"/>
      <w:divBdr>
        <w:top w:val="none" w:sz="0" w:space="0" w:color="auto"/>
        <w:left w:val="none" w:sz="0" w:space="0" w:color="auto"/>
        <w:bottom w:val="none" w:sz="0" w:space="0" w:color="auto"/>
        <w:right w:val="none" w:sz="0" w:space="0" w:color="auto"/>
      </w:divBdr>
    </w:div>
    <w:div w:id="897010487">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307974842">
      <w:bodyDiv w:val="1"/>
      <w:marLeft w:val="0"/>
      <w:marRight w:val="0"/>
      <w:marTop w:val="0"/>
      <w:marBottom w:val="0"/>
      <w:divBdr>
        <w:top w:val="none" w:sz="0" w:space="0" w:color="auto"/>
        <w:left w:val="none" w:sz="0" w:space="0" w:color="auto"/>
        <w:bottom w:val="none" w:sz="0" w:space="0" w:color="auto"/>
        <w:right w:val="none" w:sz="0" w:space="0" w:color="auto"/>
      </w:divBdr>
    </w:div>
    <w:div w:id="1363823410">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 w:id="1533303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s.vic.gov.au/why/benefits-condi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33FFA9-B9FB-4712-BAD0-DC0DF64B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msyn1603</dc:creator>
  <cp:lastModifiedBy>Margaret Synon (CCYP)</cp:lastModifiedBy>
  <cp:revision>2</cp:revision>
  <cp:lastPrinted>2017-10-02T04:01:00Z</cp:lastPrinted>
  <dcterms:created xsi:type="dcterms:W3CDTF">2021-01-07T23:14:00Z</dcterms:created>
  <dcterms:modified xsi:type="dcterms:W3CDTF">2021-01-07T23:14:00Z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2021-01-07T23:13:41Z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32f35fd7-5bf8-4dc3-8080-da0c0331c435</vt:lpwstr>
  </property>
  <property fmtid="{D5CDD505-2E9C-101B-9397-08002B2CF9AE}" pid="8" name="MSIP_Label_43e64453-338c-4f93-8a4d-0039a0a41f2a_ContentBits">
    <vt:lpwstr>2</vt:lpwstr>
  </property>
</Properties>
</file>