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60E2" w14:textId="77777777" w:rsidR="00C40303" w:rsidRDefault="00C40303" w:rsidP="00C40303">
      <w:pPr>
        <w:spacing w:after="0" w:line="360" w:lineRule="auto"/>
        <w:rPr>
          <w:rFonts w:ascii="Arial" w:eastAsia="Times New Roman" w:hAnsi="Arial" w:cs="Arial"/>
          <w:b/>
          <w:szCs w:val="20"/>
        </w:rPr>
      </w:pPr>
    </w:p>
    <w:p w14:paraId="36D20AB4" w14:textId="7C86F845" w:rsidR="00C40303" w:rsidRPr="00C40303" w:rsidRDefault="00C40303" w:rsidP="00C40303">
      <w:pPr>
        <w:spacing w:after="0" w:line="360" w:lineRule="auto"/>
        <w:rPr>
          <w:rFonts w:ascii="Arial" w:eastAsia="Times New Roman" w:hAnsi="Arial" w:cs="Arial"/>
          <w:bCs/>
          <w:szCs w:val="20"/>
        </w:rPr>
      </w:pPr>
      <w:r>
        <w:rPr>
          <w:rFonts w:ascii="Arial" w:eastAsia="Times New Roman" w:hAnsi="Arial" w:cs="Arial"/>
          <w:b/>
          <w:szCs w:val="20"/>
        </w:rPr>
        <w:t xml:space="preserve">Selection Criteria – </w:t>
      </w:r>
      <w:r w:rsidR="00276D23">
        <w:rPr>
          <w:rFonts w:ascii="Arial" w:eastAsia="Times New Roman" w:hAnsi="Arial" w:cs="Arial"/>
          <w:b/>
          <w:szCs w:val="20"/>
        </w:rPr>
        <w:t>It is imperative that EACH of the Selection Criteria is addressed</w:t>
      </w:r>
      <w:r w:rsidR="00276D23">
        <w:rPr>
          <w:rFonts w:ascii="Arial" w:eastAsia="Times New Roman" w:hAnsi="Arial" w:cs="Arial"/>
          <w:bCs/>
          <w:szCs w:val="20"/>
        </w:rPr>
        <w:t>.</w:t>
      </w:r>
    </w:p>
    <w:p w14:paraId="320483B6" w14:textId="77777777" w:rsidR="00C40303" w:rsidRDefault="00C40303" w:rsidP="00C40303">
      <w:pPr>
        <w:spacing w:after="0" w:line="240" w:lineRule="auto"/>
        <w:rPr>
          <w:rFonts w:ascii="Arial" w:eastAsia="Times New Roman" w:hAnsi="Arial" w:cs="Arial"/>
          <w:bCs/>
          <w:i/>
          <w:iCs/>
          <w:szCs w:val="20"/>
        </w:rPr>
      </w:pPr>
    </w:p>
    <w:p w14:paraId="32F16B57" w14:textId="3CB2CA37" w:rsidR="00C40303" w:rsidRPr="007100C5" w:rsidRDefault="00C40303" w:rsidP="00C40303">
      <w:pPr>
        <w:spacing w:after="0" w:line="240" w:lineRule="auto"/>
        <w:rPr>
          <w:rFonts w:ascii="Arial" w:eastAsia="Times New Roman" w:hAnsi="Arial" w:cs="Arial"/>
          <w:bCs/>
          <w:i/>
          <w:iCs/>
          <w:szCs w:val="20"/>
        </w:rPr>
      </w:pPr>
      <w:r w:rsidRPr="007100C5">
        <w:rPr>
          <w:rFonts w:ascii="Arial" w:eastAsia="Times New Roman" w:hAnsi="Arial" w:cs="Arial"/>
          <w:bCs/>
          <w:i/>
          <w:iCs/>
          <w:szCs w:val="20"/>
        </w:rPr>
        <w:t>Values</w:t>
      </w:r>
    </w:p>
    <w:p w14:paraId="72AFBB2C" w14:textId="77777777" w:rsidR="00C40303" w:rsidRPr="004F2BDA" w:rsidRDefault="00C40303" w:rsidP="00C40303">
      <w:pPr>
        <w:numPr>
          <w:ilvl w:val="0"/>
          <w:numId w:val="3"/>
        </w:numPr>
        <w:spacing w:after="0" w:line="240" w:lineRule="auto"/>
        <w:rPr>
          <w:rFonts w:ascii="Arial" w:eastAsia="Times New Roman" w:hAnsi="Arial" w:cs="Arial"/>
          <w:szCs w:val="20"/>
        </w:rPr>
      </w:pPr>
      <w:r w:rsidRPr="004F2BDA">
        <w:rPr>
          <w:rFonts w:ascii="Arial" w:eastAsia="Times New Roman" w:hAnsi="Arial" w:cs="Arial"/>
          <w:szCs w:val="20"/>
        </w:rPr>
        <w:t>An unswerving commitment to a vision for people with a disability that they achieve valued inclusive lives within their communities.</w:t>
      </w:r>
    </w:p>
    <w:p w14:paraId="5AAC8DA1" w14:textId="77777777" w:rsidR="00C40303" w:rsidRPr="006919A4" w:rsidRDefault="00C40303" w:rsidP="00C40303">
      <w:pPr>
        <w:numPr>
          <w:ilvl w:val="0"/>
          <w:numId w:val="3"/>
        </w:numPr>
        <w:spacing w:after="0" w:line="240" w:lineRule="auto"/>
        <w:rPr>
          <w:rFonts w:ascii="Arial" w:eastAsia="Times New Roman" w:hAnsi="Arial" w:cs="Arial"/>
          <w:szCs w:val="20"/>
        </w:rPr>
      </w:pPr>
      <w:r w:rsidRPr="004F2BDA">
        <w:rPr>
          <w:rFonts w:ascii="Arial" w:eastAsia="Times New Roman" w:hAnsi="Arial" w:cs="Arial"/>
          <w:szCs w:val="20"/>
        </w:rPr>
        <w:t xml:space="preserve">Commitment to SUFY's principles, including the principle of independent </w:t>
      </w:r>
      <w:r w:rsidRPr="006919A4">
        <w:rPr>
          <w:rFonts w:ascii="Arial" w:eastAsia="Times New Roman" w:hAnsi="Arial" w:cs="Arial"/>
          <w:szCs w:val="20"/>
        </w:rPr>
        <w:t>advocacy.</w:t>
      </w:r>
    </w:p>
    <w:p w14:paraId="28C24310" w14:textId="77777777" w:rsidR="00C40303" w:rsidRPr="004F2BDA" w:rsidRDefault="00C40303" w:rsidP="00C40303">
      <w:pPr>
        <w:spacing w:after="0" w:line="240" w:lineRule="auto"/>
        <w:rPr>
          <w:rFonts w:ascii="Arial" w:eastAsia="Times New Roman" w:hAnsi="Arial" w:cs="Arial"/>
          <w:szCs w:val="20"/>
        </w:rPr>
      </w:pPr>
    </w:p>
    <w:p w14:paraId="3F939408" w14:textId="77777777" w:rsidR="00C40303" w:rsidRPr="007100C5" w:rsidRDefault="00C40303" w:rsidP="00C40303">
      <w:pPr>
        <w:spacing w:after="0" w:line="240" w:lineRule="auto"/>
        <w:rPr>
          <w:rFonts w:ascii="Arial" w:eastAsia="Times New Roman" w:hAnsi="Arial" w:cs="Arial"/>
          <w:bCs/>
          <w:i/>
          <w:iCs/>
          <w:szCs w:val="20"/>
        </w:rPr>
      </w:pPr>
      <w:r w:rsidRPr="007100C5">
        <w:rPr>
          <w:rFonts w:ascii="Arial" w:eastAsia="Times New Roman" w:hAnsi="Arial" w:cs="Arial"/>
          <w:bCs/>
          <w:i/>
          <w:iCs/>
          <w:szCs w:val="20"/>
        </w:rPr>
        <w:t>Management and Organisational skills</w:t>
      </w:r>
    </w:p>
    <w:p w14:paraId="1BA2BADE" w14:textId="77777777" w:rsidR="00C40303" w:rsidRDefault="00C40303" w:rsidP="00C40303">
      <w:pPr>
        <w:numPr>
          <w:ilvl w:val="0"/>
          <w:numId w:val="1"/>
        </w:numPr>
        <w:tabs>
          <w:tab w:val="clear" w:pos="360"/>
          <w:tab w:val="num" w:pos="720"/>
        </w:tabs>
        <w:spacing w:after="0" w:line="240" w:lineRule="auto"/>
        <w:ind w:left="720"/>
        <w:rPr>
          <w:rFonts w:ascii="Arial" w:eastAsia="Times New Roman" w:hAnsi="Arial" w:cs="Arial"/>
          <w:szCs w:val="20"/>
        </w:rPr>
      </w:pPr>
      <w:r>
        <w:rPr>
          <w:rFonts w:ascii="Arial" w:eastAsia="Times New Roman" w:hAnsi="Arial" w:cs="Arial"/>
          <w:szCs w:val="20"/>
        </w:rPr>
        <w:t>Experience and skills in managing staff and building teamwork and collaboration among staff.</w:t>
      </w:r>
    </w:p>
    <w:p w14:paraId="4CE7A6D2" w14:textId="77777777" w:rsidR="00C40303" w:rsidRDefault="00C40303" w:rsidP="00C40303">
      <w:pPr>
        <w:numPr>
          <w:ilvl w:val="0"/>
          <w:numId w:val="1"/>
        </w:numPr>
        <w:tabs>
          <w:tab w:val="clear" w:pos="360"/>
          <w:tab w:val="num" w:pos="720"/>
        </w:tabs>
        <w:spacing w:after="0" w:line="240" w:lineRule="auto"/>
        <w:ind w:left="720"/>
        <w:rPr>
          <w:rFonts w:ascii="Arial" w:eastAsia="Times New Roman" w:hAnsi="Arial" w:cs="Arial"/>
          <w:szCs w:val="20"/>
        </w:rPr>
      </w:pPr>
      <w:r>
        <w:rPr>
          <w:rFonts w:ascii="Arial" w:eastAsia="Times New Roman" w:hAnsi="Arial" w:cs="Arial"/>
          <w:szCs w:val="20"/>
        </w:rPr>
        <w:t>Understanding of human service quality systems and ability to oversee the maintenance and implementation of such systems.</w:t>
      </w:r>
    </w:p>
    <w:p w14:paraId="6DF7ADC3" w14:textId="77777777" w:rsidR="00C40303" w:rsidRDefault="00C40303" w:rsidP="00C40303">
      <w:pPr>
        <w:numPr>
          <w:ilvl w:val="0"/>
          <w:numId w:val="1"/>
        </w:numPr>
        <w:tabs>
          <w:tab w:val="clear" w:pos="360"/>
          <w:tab w:val="num" w:pos="720"/>
        </w:tabs>
        <w:spacing w:after="0" w:line="240" w:lineRule="auto"/>
        <w:ind w:left="720"/>
        <w:rPr>
          <w:rFonts w:ascii="Arial" w:eastAsia="Times New Roman" w:hAnsi="Arial" w:cs="Arial"/>
          <w:szCs w:val="20"/>
        </w:rPr>
      </w:pPr>
      <w:r>
        <w:rPr>
          <w:rFonts w:ascii="Arial" w:eastAsia="Times New Roman" w:hAnsi="Arial" w:cs="Arial"/>
          <w:szCs w:val="20"/>
        </w:rPr>
        <w:t>Ability to oversee the management and allocation of financial and other resources and to ensure the organisation operates within its resources.</w:t>
      </w:r>
    </w:p>
    <w:p w14:paraId="51D20C1F" w14:textId="77777777" w:rsidR="00C40303" w:rsidRDefault="00C40303" w:rsidP="00C40303">
      <w:pPr>
        <w:numPr>
          <w:ilvl w:val="0"/>
          <w:numId w:val="1"/>
        </w:numPr>
        <w:tabs>
          <w:tab w:val="clear" w:pos="360"/>
          <w:tab w:val="num" w:pos="720"/>
        </w:tabs>
        <w:spacing w:after="0" w:line="240" w:lineRule="auto"/>
        <w:ind w:left="720"/>
        <w:rPr>
          <w:rFonts w:ascii="Arial" w:eastAsia="Times New Roman" w:hAnsi="Arial" w:cs="Arial"/>
          <w:szCs w:val="20"/>
        </w:rPr>
      </w:pPr>
      <w:r>
        <w:rPr>
          <w:rFonts w:ascii="Arial" w:eastAsia="Times New Roman" w:hAnsi="Arial" w:cs="Arial"/>
          <w:szCs w:val="20"/>
        </w:rPr>
        <w:t>An understanding of NGO governance arrangements and ability to support the governance of the organisation.</w:t>
      </w:r>
    </w:p>
    <w:p w14:paraId="0227EBE4" w14:textId="77777777" w:rsidR="00C40303" w:rsidRDefault="00C40303" w:rsidP="00C40303">
      <w:pPr>
        <w:spacing w:after="0" w:line="240" w:lineRule="auto"/>
        <w:rPr>
          <w:rFonts w:ascii="Arial" w:eastAsia="Times New Roman" w:hAnsi="Arial" w:cs="Arial"/>
          <w:szCs w:val="20"/>
        </w:rPr>
      </w:pPr>
    </w:p>
    <w:p w14:paraId="50912926" w14:textId="77777777" w:rsidR="00C40303" w:rsidRPr="007100C5" w:rsidRDefault="00C40303" w:rsidP="00C40303">
      <w:pPr>
        <w:spacing w:after="0" w:line="240" w:lineRule="auto"/>
        <w:rPr>
          <w:rFonts w:ascii="Arial" w:eastAsia="Times New Roman" w:hAnsi="Arial" w:cs="Arial"/>
          <w:i/>
          <w:iCs/>
          <w:szCs w:val="20"/>
        </w:rPr>
      </w:pPr>
      <w:r w:rsidRPr="007100C5">
        <w:rPr>
          <w:rFonts w:ascii="Arial" w:eastAsia="Times New Roman" w:hAnsi="Arial" w:cs="Arial"/>
          <w:i/>
          <w:iCs/>
          <w:szCs w:val="20"/>
        </w:rPr>
        <w:t>Communication Skills</w:t>
      </w:r>
    </w:p>
    <w:p w14:paraId="6BE46DCC" w14:textId="77777777" w:rsidR="00C40303" w:rsidRDefault="00C40303" w:rsidP="00C40303">
      <w:pPr>
        <w:pStyle w:val="ListParagraph"/>
        <w:numPr>
          <w:ilvl w:val="0"/>
          <w:numId w:val="4"/>
        </w:numPr>
        <w:spacing w:after="0" w:line="240" w:lineRule="auto"/>
        <w:rPr>
          <w:rFonts w:ascii="Arial" w:eastAsia="Times New Roman" w:hAnsi="Arial" w:cs="Arial"/>
          <w:szCs w:val="20"/>
        </w:rPr>
      </w:pPr>
      <w:r>
        <w:rPr>
          <w:rFonts w:ascii="Arial" w:eastAsia="Times New Roman" w:hAnsi="Arial" w:cs="Arial"/>
          <w:szCs w:val="20"/>
        </w:rPr>
        <w:t>Ability to communicate effectively and appropriately with a wide range of people including people with disability, representatives of partner organisations and government bodies.</w:t>
      </w:r>
    </w:p>
    <w:p w14:paraId="35551788" w14:textId="77777777" w:rsidR="00C40303" w:rsidRDefault="00C40303" w:rsidP="00C40303">
      <w:pPr>
        <w:pStyle w:val="ListParagraph"/>
        <w:numPr>
          <w:ilvl w:val="0"/>
          <w:numId w:val="4"/>
        </w:numPr>
        <w:spacing w:after="0" w:line="240" w:lineRule="auto"/>
        <w:rPr>
          <w:rFonts w:ascii="Arial" w:eastAsia="Times New Roman" w:hAnsi="Arial" w:cs="Arial"/>
          <w:szCs w:val="20"/>
        </w:rPr>
      </w:pPr>
      <w:r>
        <w:rPr>
          <w:rFonts w:ascii="Arial" w:eastAsia="Times New Roman" w:hAnsi="Arial" w:cs="Arial"/>
          <w:szCs w:val="20"/>
        </w:rPr>
        <w:t>High quality verbal and written communication skills.</w:t>
      </w:r>
    </w:p>
    <w:p w14:paraId="1C748FF4" w14:textId="77777777" w:rsidR="00C40303" w:rsidRPr="00565FC2" w:rsidRDefault="00C40303" w:rsidP="00C40303">
      <w:pPr>
        <w:pStyle w:val="ListParagraph"/>
        <w:numPr>
          <w:ilvl w:val="0"/>
          <w:numId w:val="4"/>
        </w:numPr>
        <w:spacing w:after="0" w:line="240" w:lineRule="auto"/>
        <w:rPr>
          <w:rFonts w:ascii="Arial" w:eastAsia="Times New Roman" w:hAnsi="Arial" w:cs="Arial"/>
          <w:szCs w:val="20"/>
        </w:rPr>
      </w:pPr>
      <w:r>
        <w:rPr>
          <w:rFonts w:ascii="Arial" w:eastAsia="Times New Roman" w:hAnsi="Arial" w:cs="Arial"/>
          <w:szCs w:val="20"/>
        </w:rPr>
        <w:t>Ability to work collaboratively with like-minded organisations and individuals to further the interests of people with disability.</w:t>
      </w:r>
    </w:p>
    <w:p w14:paraId="3EC34B6C" w14:textId="77777777" w:rsidR="00C40303" w:rsidRPr="004F2BDA" w:rsidRDefault="00C40303" w:rsidP="00C40303">
      <w:pPr>
        <w:spacing w:after="0" w:line="240" w:lineRule="auto"/>
        <w:rPr>
          <w:rFonts w:ascii="Arial" w:eastAsia="Times New Roman" w:hAnsi="Arial" w:cs="Arial"/>
          <w:szCs w:val="20"/>
        </w:rPr>
      </w:pPr>
    </w:p>
    <w:p w14:paraId="65314885" w14:textId="77777777" w:rsidR="00C40303" w:rsidRDefault="00C40303" w:rsidP="00C40303">
      <w:pPr>
        <w:spacing w:after="0" w:line="240" w:lineRule="auto"/>
        <w:rPr>
          <w:rFonts w:ascii="Arial" w:eastAsia="Times New Roman" w:hAnsi="Arial" w:cs="Arial"/>
          <w:bCs/>
          <w:i/>
          <w:iCs/>
          <w:szCs w:val="20"/>
        </w:rPr>
      </w:pPr>
      <w:r>
        <w:rPr>
          <w:rFonts w:ascii="Arial" w:eastAsia="Times New Roman" w:hAnsi="Arial" w:cs="Arial"/>
          <w:bCs/>
          <w:i/>
          <w:iCs/>
          <w:szCs w:val="20"/>
        </w:rPr>
        <w:t>Funding and Grant Management</w:t>
      </w:r>
    </w:p>
    <w:p w14:paraId="2EB811CD" w14:textId="77777777" w:rsidR="00C40303" w:rsidRDefault="00C40303" w:rsidP="00C40303">
      <w:pPr>
        <w:pStyle w:val="ListParagraph"/>
        <w:numPr>
          <w:ilvl w:val="0"/>
          <w:numId w:val="5"/>
        </w:numPr>
        <w:spacing w:after="0" w:line="240" w:lineRule="auto"/>
        <w:rPr>
          <w:rFonts w:ascii="Arial" w:eastAsia="Times New Roman" w:hAnsi="Arial" w:cs="Arial"/>
          <w:bCs/>
          <w:szCs w:val="20"/>
        </w:rPr>
      </w:pPr>
      <w:r>
        <w:rPr>
          <w:rFonts w:ascii="Arial" w:eastAsia="Times New Roman" w:hAnsi="Arial" w:cs="Arial"/>
          <w:bCs/>
          <w:szCs w:val="20"/>
        </w:rPr>
        <w:t>Ability to identify appropriate funding sources for the organisation and to develop high quality funding proposals.</w:t>
      </w:r>
    </w:p>
    <w:p w14:paraId="668FA622" w14:textId="77777777" w:rsidR="00C40303" w:rsidRPr="00345FE6" w:rsidRDefault="00C40303" w:rsidP="00C40303">
      <w:pPr>
        <w:pStyle w:val="ListParagraph"/>
        <w:numPr>
          <w:ilvl w:val="0"/>
          <w:numId w:val="5"/>
        </w:numPr>
        <w:spacing w:after="0" w:line="240" w:lineRule="auto"/>
        <w:rPr>
          <w:rFonts w:ascii="Arial" w:eastAsia="Times New Roman" w:hAnsi="Arial" w:cs="Arial"/>
          <w:bCs/>
          <w:szCs w:val="20"/>
        </w:rPr>
      </w:pPr>
      <w:r>
        <w:rPr>
          <w:rFonts w:ascii="Arial" w:eastAsia="Times New Roman" w:hAnsi="Arial" w:cs="Arial"/>
          <w:bCs/>
          <w:szCs w:val="20"/>
        </w:rPr>
        <w:t>Ability to ensure the organisation meet the requirements of funding contracts and to ensure appropriate accountability to funds.</w:t>
      </w:r>
    </w:p>
    <w:p w14:paraId="2FE55D30" w14:textId="77777777" w:rsidR="00C40303" w:rsidRDefault="00C40303" w:rsidP="00C40303">
      <w:pPr>
        <w:spacing w:after="0" w:line="240" w:lineRule="auto"/>
        <w:rPr>
          <w:rFonts w:ascii="Arial" w:eastAsia="Times New Roman" w:hAnsi="Arial" w:cs="Arial"/>
          <w:bCs/>
          <w:i/>
          <w:iCs/>
          <w:szCs w:val="20"/>
        </w:rPr>
      </w:pPr>
    </w:p>
    <w:p w14:paraId="0D34D76D" w14:textId="77777777" w:rsidR="00C40303" w:rsidRPr="007100C5" w:rsidRDefault="00C40303" w:rsidP="00C40303">
      <w:pPr>
        <w:spacing w:after="0" w:line="240" w:lineRule="auto"/>
        <w:rPr>
          <w:rFonts w:ascii="Arial" w:eastAsia="Times New Roman" w:hAnsi="Arial" w:cs="Arial"/>
          <w:bCs/>
          <w:i/>
          <w:iCs/>
          <w:szCs w:val="20"/>
        </w:rPr>
      </w:pPr>
      <w:r w:rsidRPr="007100C5">
        <w:rPr>
          <w:rFonts w:ascii="Arial" w:eastAsia="Times New Roman" w:hAnsi="Arial" w:cs="Arial"/>
          <w:bCs/>
          <w:i/>
          <w:iCs/>
          <w:szCs w:val="20"/>
        </w:rPr>
        <w:t>Advocacy Skills</w:t>
      </w:r>
    </w:p>
    <w:p w14:paraId="3F393409" w14:textId="77777777" w:rsidR="00C40303" w:rsidRDefault="00C40303" w:rsidP="00C40303">
      <w:pPr>
        <w:numPr>
          <w:ilvl w:val="0"/>
          <w:numId w:val="2"/>
        </w:numPr>
        <w:tabs>
          <w:tab w:val="clear" w:pos="360"/>
          <w:tab w:val="num" w:pos="425"/>
        </w:tabs>
        <w:spacing w:after="0" w:line="240" w:lineRule="auto"/>
        <w:ind w:left="850" w:hanging="425"/>
        <w:rPr>
          <w:rFonts w:ascii="Arial" w:eastAsia="Times New Roman" w:hAnsi="Arial" w:cs="Arial"/>
          <w:szCs w:val="20"/>
        </w:rPr>
      </w:pPr>
      <w:r>
        <w:rPr>
          <w:rFonts w:ascii="Arial" w:eastAsia="Times New Roman" w:hAnsi="Arial" w:cs="Arial"/>
          <w:szCs w:val="20"/>
        </w:rPr>
        <w:t>Knowledge of, or ability to quickly gain knowledge of, the legal and human rights frameworks surrounding the rights of people with disability.</w:t>
      </w:r>
    </w:p>
    <w:p w14:paraId="108E0308" w14:textId="77777777" w:rsidR="00C40303" w:rsidRDefault="00C40303" w:rsidP="00C40303">
      <w:pPr>
        <w:numPr>
          <w:ilvl w:val="0"/>
          <w:numId w:val="2"/>
        </w:numPr>
        <w:tabs>
          <w:tab w:val="clear" w:pos="360"/>
          <w:tab w:val="num" w:pos="425"/>
        </w:tabs>
        <w:spacing w:after="0" w:line="240" w:lineRule="auto"/>
        <w:ind w:left="850" w:hanging="425"/>
        <w:rPr>
          <w:rFonts w:ascii="Arial" w:eastAsia="Times New Roman" w:hAnsi="Arial" w:cs="Arial"/>
          <w:szCs w:val="20"/>
        </w:rPr>
      </w:pPr>
      <w:r>
        <w:rPr>
          <w:rFonts w:ascii="Arial" w:eastAsia="Times New Roman" w:hAnsi="Arial" w:cs="Arial"/>
          <w:szCs w:val="20"/>
        </w:rPr>
        <w:t>Understanding of principles and frameworks for independent advocacy.</w:t>
      </w:r>
    </w:p>
    <w:p w14:paraId="33170181" w14:textId="77777777" w:rsidR="00C40303" w:rsidRDefault="00C40303" w:rsidP="00C40303">
      <w:pPr>
        <w:numPr>
          <w:ilvl w:val="0"/>
          <w:numId w:val="2"/>
        </w:numPr>
        <w:tabs>
          <w:tab w:val="clear" w:pos="360"/>
          <w:tab w:val="num" w:pos="425"/>
        </w:tabs>
        <w:spacing w:after="0" w:line="240" w:lineRule="auto"/>
        <w:ind w:left="850" w:hanging="425"/>
        <w:rPr>
          <w:rFonts w:ascii="Arial" w:eastAsia="Times New Roman" w:hAnsi="Arial" w:cs="Arial"/>
          <w:szCs w:val="20"/>
        </w:rPr>
      </w:pPr>
      <w:r>
        <w:rPr>
          <w:rFonts w:ascii="Arial" w:eastAsia="Times New Roman" w:hAnsi="Arial" w:cs="Arial"/>
          <w:szCs w:val="20"/>
        </w:rPr>
        <w:t>Experience in advocating for people with disability or others who experience disadvantage or discrimination.</w:t>
      </w:r>
    </w:p>
    <w:p w14:paraId="14A1832A" w14:textId="77777777" w:rsidR="00C40303" w:rsidRDefault="00C40303" w:rsidP="00C40303">
      <w:pPr>
        <w:numPr>
          <w:ilvl w:val="0"/>
          <w:numId w:val="2"/>
        </w:numPr>
        <w:tabs>
          <w:tab w:val="clear" w:pos="360"/>
          <w:tab w:val="num" w:pos="425"/>
        </w:tabs>
        <w:spacing w:after="0" w:line="240" w:lineRule="auto"/>
        <w:ind w:left="850" w:hanging="425"/>
        <w:rPr>
          <w:rFonts w:ascii="Arial" w:eastAsia="Times New Roman" w:hAnsi="Arial" w:cs="Arial"/>
          <w:szCs w:val="20"/>
        </w:rPr>
      </w:pPr>
      <w:r>
        <w:rPr>
          <w:rFonts w:ascii="Arial" w:eastAsia="Times New Roman" w:hAnsi="Arial" w:cs="Arial"/>
          <w:szCs w:val="20"/>
        </w:rPr>
        <w:t>Ability to represent the interests and needs of people with disability in public forums or in systems advocacy situations.</w:t>
      </w:r>
    </w:p>
    <w:p w14:paraId="133198CF" w14:textId="77777777" w:rsidR="00C40303" w:rsidRDefault="00C40303" w:rsidP="00C40303">
      <w:pPr>
        <w:tabs>
          <w:tab w:val="num" w:pos="709"/>
        </w:tabs>
        <w:spacing w:after="0" w:line="360" w:lineRule="auto"/>
        <w:rPr>
          <w:rFonts w:ascii="Arial" w:eastAsia="Times New Roman" w:hAnsi="Arial" w:cs="Arial"/>
          <w:szCs w:val="20"/>
        </w:rPr>
      </w:pPr>
    </w:p>
    <w:p w14:paraId="70BFF9AA" w14:textId="77777777" w:rsidR="00C40303" w:rsidRPr="007100C5" w:rsidRDefault="00C40303" w:rsidP="00C40303">
      <w:pPr>
        <w:tabs>
          <w:tab w:val="num" w:pos="709"/>
        </w:tabs>
        <w:spacing w:after="0" w:line="360" w:lineRule="auto"/>
        <w:rPr>
          <w:rFonts w:ascii="Arial" w:eastAsia="Times New Roman" w:hAnsi="Arial" w:cs="Arial"/>
          <w:i/>
          <w:iCs/>
          <w:szCs w:val="20"/>
        </w:rPr>
      </w:pPr>
      <w:r w:rsidRPr="007100C5">
        <w:rPr>
          <w:rFonts w:ascii="Arial" w:eastAsia="Times New Roman" w:hAnsi="Arial" w:cs="Arial"/>
          <w:i/>
          <w:iCs/>
          <w:szCs w:val="20"/>
        </w:rPr>
        <w:t>Criminal History Checks</w:t>
      </w:r>
    </w:p>
    <w:p w14:paraId="0FD9DF01" w14:textId="77777777" w:rsidR="00C40303" w:rsidRPr="00735F3A" w:rsidRDefault="00C40303" w:rsidP="00C40303">
      <w:pPr>
        <w:rPr>
          <w:rFonts w:ascii="Arial" w:hAnsi="Arial" w:cs="Arial"/>
          <w:bCs/>
        </w:rPr>
      </w:pPr>
      <w:r w:rsidRPr="00735F3A">
        <w:rPr>
          <w:rFonts w:ascii="Arial" w:hAnsi="Arial" w:cs="Arial"/>
          <w:bCs/>
        </w:rPr>
        <w:t>The Disability Services Act 2006 requires criminal history screening for all people engaged by a funded non</w:t>
      </w:r>
      <w:r w:rsidRPr="00735F3A">
        <w:rPr>
          <w:rFonts w:ascii="Cambria Math" w:hAnsi="Cambria Math" w:cs="Cambria Math"/>
          <w:bCs/>
        </w:rPr>
        <w:t>‐</w:t>
      </w:r>
      <w:r w:rsidRPr="00735F3A">
        <w:rPr>
          <w:rFonts w:ascii="Arial" w:hAnsi="Arial" w:cs="Arial"/>
          <w:bCs/>
        </w:rPr>
        <w:t>government service provider.    All staff are required to complete and achieve The Working with Children Check (“Blue Card”) and relevant Criminal History Screening prior to commencing employment.</w:t>
      </w:r>
      <w:r>
        <w:rPr>
          <w:rFonts w:ascii="Arial" w:hAnsi="Arial" w:cs="Arial"/>
          <w:bCs/>
        </w:rPr>
        <w:t xml:space="preserve">  </w:t>
      </w:r>
      <w:r w:rsidRPr="00735F3A">
        <w:rPr>
          <w:rFonts w:ascii="Arial" w:hAnsi="Arial" w:cs="Arial"/>
          <w:bCs/>
        </w:rPr>
        <w:t>Once in receipt of the Blue Card, you are required to obtain an Exemption to the Disability Services’ Positive Notice (“Yellow Card Exemption”).    Ongoing employment is dependent upon the person’s ability to renew the Blue Card and the Yellow Card Exemption.</w:t>
      </w:r>
    </w:p>
    <w:p w14:paraId="32C87F40" w14:textId="77777777" w:rsidR="0080774A" w:rsidRDefault="0080774A"/>
    <w:sectPr w:rsidR="0080774A" w:rsidSect="00C4030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4C94" w14:textId="77777777" w:rsidR="00021717" w:rsidRDefault="00021717" w:rsidP="00C40303">
      <w:pPr>
        <w:spacing w:after="0" w:line="240" w:lineRule="auto"/>
      </w:pPr>
      <w:r>
        <w:separator/>
      </w:r>
    </w:p>
  </w:endnote>
  <w:endnote w:type="continuationSeparator" w:id="0">
    <w:p w14:paraId="1EF0295D" w14:textId="77777777" w:rsidR="00021717" w:rsidRDefault="00021717" w:rsidP="00C4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5A0B" w14:textId="77777777" w:rsidR="00021717" w:rsidRDefault="00021717" w:rsidP="00C40303">
      <w:pPr>
        <w:spacing w:after="0" w:line="240" w:lineRule="auto"/>
      </w:pPr>
      <w:r>
        <w:separator/>
      </w:r>
    </w:p>
  </w:footnote>
  <w:footnote w:type="continuationSeparator" w:id="0">
    <w:p w14:paraId="0034E638" w14:textId="77777777" w:rsidR="00021717" w:rsidRDefault="00021717" w:rsidP="00C4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E19B" w14:textId="701D085E" w:rsidR="00C40303" w:rsidRDefault="00C40303" w:rsidP="00C40303">
    <w:pPr>
      <w:pStyle w:val="Header"/>
      <w:jc w:val="center"/>
    </w:pPr>
    <w:r>
      <w:rPr>
        <w:noProof/>
      </w:rPr>
      <w:drawing>
        <wp:inline distT="0" distB="0" distL="0" distR="0" wp14:anchorId="24D6F609" wp14:editId="65A982B8">
          <wp:extent cx="1508078" cy="959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419" cy="9794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73A6"/>
    <w:multiLevelType w:val="hybridMultilevel"/>
    <w:tmpl w:val="F59E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13164"/>
    <w:multiLevelType w:val="hybridMultilevel"/>
    <w:tmpl w:val="F8E0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B2580"/>
    <w:multiLevelType w:val="hybridMultilevel"/>
    <w:tmpl w:val="C650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66FC6"/>
    <w:multiLevelType w:val="singleLevel"/>
    <w:tmpl w:val="9E5CDD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762C0D"/>
    <w:multiLevelType w:val="singleLevel"/>
    <w:tmpl w:val="9E5CDD6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03"/>
    <w:rsid w:val="00021717"/>
    <w:rsid w:val="001B2F6C"/>
    <w:rsid w:val="00276D23"/>
    <w:rsid w:val="00690430"/>
    <w:rsid w:val="0080774A"/>
    <w:rsid w:val="00C40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BEA4"/>
  <w15:chartTrackingRefBased/>
  <w15:docId w15:val="{1FC154D6-05B8-4F43-B449-17B1B950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03"/>
    <w:pPr>
      <w:ind w:left="720"/>
      <w:contextualSpacing/>
    </w:pPr>
  </w:style>
  <w:style w:type="paragraph" w:styleId="Header">
    <w:name w:val="header"/>
    <w:basedOn w:val="Normal"/>
    <w:link w:val="HeaderChar"/>
    <w:uiPriority w:val="99"/>
    <w:unhideWhenUsed/>
    <w:rsid w:val="00C40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03"/>
  </w:style>
  <w:style w:type="paragraph" w:styleId="Footer">
    <w:name w:val="footer"/>
    <w:basedOn w:val="Normal"/>
    <w:link w:val="FooterChar"/>
    <w:uiPriority w:val="99"/>
    <w:unhideWhenUsed/>
    <w:rsid w:val="00C40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AA6C98586D940A383F42ECE531626" ma:contentTypeVersion="13" ma:contentTypeDescription="Create a new document." ma:contentTypeScope="" ma:versionID="fa7af42ec44c5ad949aa282d28d243e6">
  <xsd:schema xmlns:xsd="http://www.w3.org/2001/XMLSchema" xmlns:xs="http://www.w3.org/2001/XMLSchema" xmlns:p="http://schemas.microsoft.com/office/2006/metadata/properties" xmlns:ns3="ee40f2f9-1496-487e-a19a-b59defa5c4c9" xmlns:ns4="19168d41-99dc-4c3f-915a-61313baa1e9b" targetNamespace="http://schemas.microsoft.com/office/2006/metadata/properties" ma:root="true" ma:fieldsID="e635a488ba16fb1ffc7f22ff7efff64d" ns3:_="" ns4:_="">
    <xsd:import namespace="ee40f2f9-1496-487e-a19a-b59defa5c4c9"/>
    <xsd:import namespace="19168d41-99dc-4c3f-915a-61313baa1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f2f9-1496-487e-a19a-b59defa5c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68d41-99dc-4c3f-915a-61313baa1e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EE445-3577-4FE1-983A-5FD13A98952B}">
  <ds:schemaRefs>
    <ds:schemaRef ds:uri="http://schemas.microsoft.com/sharepoint/v3/contenttype/forms"/>
  </ds:schemaRefs>
</ds:datastoreItem>
</file>

<file path=customXml/itemProps2.xml><?xml version="1.0" encoding="utf-8"?>
<ds:datastoreItem xmlns:ds="http://schemas.openxmlformats.org/officeDocument/2006/customXml" ds:itemID="{42397BA0-9936-43AF-9408-5C129FB255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2E60F-4588-4E38-B7F6-C73C60E0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f2f9-1496-487e-a19a-b59defa5c4c9"/>
    <ds:schemaRef ds:uri="19168d41-99dc-4c3f-915a-61313baa1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Beckitt</dc:creator>
  <cp:keywords/>
  <dc:description/>
  <cp:lastModifiedBy>Kelly Beckitt</cp:lastModifiedBy>
  <cp:revision>4</cp:revision>
  <dcterms:created xsi:type="dcterms:W3CDTF">2020-10-14T01:59:00Z</dcterms:created>
  <dcterms:modified xsi:type="dcterms:W3CDTF">2020-10-14T09:49:00Z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0x0101003F0AA6C98586D940A383F42ECE531626</vt:lpwstr>
  </property>
</Properties>
</file>