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E049" w14:textId="77777777" w:rsidR="008A6A3F" w:rsidRDefault="008A6A3F" w:rsidP="00A44650">
      <w:pPr>
        <w:pStyle w:val="Heading1"/>
        <w:pBdr>
          <w:top w:val="single" w:sz="4" w:space="1" w:color="auto"/>
          <w:left w:val="single" w:sz="4" w:space="4" w:color="auto"/>
          <w:bottom w:val="single" w:sz="4" w:space="1" w:color="auto"/>
          <w:right w:val="single" w:sz="4" w:space="4" w:color="auto"/>
        </w:pBdr>
        <w:rPr>
          <w:sz w:val="44"/>
        </w:rPr>
      </w:pPr>
      <w:bookmarkStart w:id="0" w:name="_GoBack"/>
      <w:bookmarkEnd w:id="0"/>
      <w:r w:rsidRPr="002F0B91">
        <w:rPr>
          <w:sz w:val="44"/>
        </w:rPr>
        <w:t>Position Description</w:t>
      </w:r>
    </w:p>
    <w:p w14:paraId="503DEEE7" w14:textId="77777777" w:rsidR="002F0B91" w:rsidRPr="002F0B91" w:rsidRDefault="002F0B91" w:rsidP="002F0B9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701"/>
        <w:gridCol w:w="1702"/>
        <w:gridCol w:w="2786"/>
      </w:tblGrid>
      <w:tr w:rsidR="009C4B4C" w:rsidRPr="009402CE" w14:paraId="38389716" w14:textId="77777777" w:rsidTr="00B40636">
        <w:tc>
          <w:tcPr>
            <w:tcW w:w="1013" w:type="pct"/>
            <w:shd w:val="pct5" w:color="auto" w:fill="auto"/>
          </w:tcPr>
          <w:p w14:paraId="0D921B4D" w14:textId="77777777" w:rsidR="009C4B4C" w:rsidRPr="009402CE" w:rsidRDefault="009C4B4C" w:rsidP="00D17115">
            <w:pPr>
              <w:jc w:val="both"/>
              <w:rPr>
                <w:rFonts w:eastAsia="Times New Roman" w:cs="Calibri"/>
                <w:b/>
                <w:color w:val="000000"/>
                <w:lang w:eastAsia="en-AU"/>
              </w:rPr>
            </w:pPr>
            <w:r w:rsidRPr="009402CE">
              <w:rPr>
                <w:rFonts w:eastAsia="Times New Roman" w:cs="Calibri"/>
                <w:b/>
                <w:color w:val="000000"/>
                <w:lang w:eastAsia="en-AU"/>
              </w:rPr>
              <w:t>Position Title:</w:t>
            </w:r>
          </w:p>
        </w:tc>
        <w:tc>
          <w:tcPr>
            <w:tcW w:w="3987" w:type="pct"/>
            <w:gridSpan w:val="3"/>
            <w:shd w:val="clear" w:color="auto" w:fill="auto"/>
          </w:tcPr>
          <w:p w14:paraId="392E1717" w14:textId="64DB842A" w:rsidR="009C4B4C" w:rsidRPr="009402CE" w:rsidRDefault="00E62AB2" w:rsidP="00AD28CA">
            <w:pPr>
              <w:jc w:val="both"/>
              <w:rPr>
                <w:rFonts w:eastAsia="Times New Roman" w:cs="Calibri"/>
                <w:color w:val="000000"/>
                <w:lang w:eastAsia="en-AU"/>
              </w:rPr>
            </w:pPr>
            <w:r>
              <w:rPr>
                <w:rFonts w:eastAsia="Times New Roman" w:cs="Calibri"/>
                <w:color w:val="000000"/>
                <w:lang w:eastAsia="en-AU"/>
              </w:rPr>
              <w:t>Helpline Manager</w:t>
            </w:r>
          </w:p>
        </w:tc>
      </w:tr>
      <w:tr w:rsidR="009C4B4C" w:rsidRPr="009402CE" w14:paraId="13063423" w14:textId="77777777" w:rsidTr="00B40636">
        <w:tc>
          <w:tcPr>
            <w:tcW w:w="1013" w:type="pct"/>
            <w:shd w:val="pct5" w:color="auto" w:fill="auto"/>
          </w:tcPr>
          <w:p w14:paraId="6E08F6A3" w14:textId="77777777" w:rsidR="009C4B4C" w:rsidRPr="009402CE" w:rsidRDefault="009C4B4C" w:rsidP="00D17115">
            <w:pPr>
              <w:jc w:val="both"/>
              <w:rPr>
                <w:rFonts w:eastAsia="Times New Roman" w:cs="Calibri"/>
                <w:b/>
                <w:color w:val="000000"/>
                <w:lang w:eastAsia="en-AU"/>
              </w:rPr>
            </w:pPr>
            <w:r>
              <w:rPr>
                <w:rFonts w:eastAsia="Times New Roman" w:cs="Calibri"/>
                <w:b/>
                <w:color w:val="000000"/>
                <w:lang w:eastAsia="en-AU"/>
              </w:rPr>
              <w:t>Reports t</w:t>
            </w:r>
            <w:r w:rsidRPr="009402CE">
              <w:rPr>
                <w:rFonts w:eastAsia="Times New Roman" w:cs="Calibri"/>
                <w:b/>
                <w:color w:val="000000"/>
                <w:lang w:eastAsia="en-AU"/>
              </w:rPr>
              <w:t>o:</w:t>
            </w:r>
          </w:p>
        </w:tc>
        <w:tc>
          <w:tcPr>
            <w:tcW w:w="3987" w:type="pct"/>
            <w:gridSpan w:val="3"/>
            <w:shd w:val="clear" w:color="auto" w:fill="auto"/>
          </w:tcPr>
          <w:p w14:paraId="68EACEA3" w14:textId="071A1F21" w:rsidR="009C4B4C" w:rsidRPr="009402CE" w:rsidRDefault="000526A4" w:rsidP="0069697A">
            <w:pPr>
              <w:jc w:val="both"/>
              <w:rPr>
                <w:rFonts w:eastAsia="Times New Roman" w:cs="Calibri"/>
                <w:color w:val="000000"/>
                <w:lang w:eastAsia="en-AU"/>
              </w:rPr>
            </w:pPr>
            <w:r>
              <w:rPr>
                <w:rFonts w:eastAsia="Times New Roman" w:cs="Calibri"/>
                <w:color w:val="000000"/>
                <w:lang w:eastAsia="en-AU"/>
              </w:rPr>
              <w:t xml:space="preserve">Engagement and </w:t>
            </w:r>
            <w:r w:rsidR="00613485">
              <w:rPr>
                <w:rFonts w:eastAsia="Times New Roman" w:cs="Calibri"/>
                <w:color w:val="000000"/>
                <w:lang w:eastAsia="en-AU"/>
              </w:rPr>
              <w:t>Community Services Manager</w:t>
            </w:r>
          </w:p>
        </w:tc>
      </w:tr>
      <w:tr w:rsidR="009C4B4C" w:rsidRPr="009402CE" w14:paraId="0E593B67" w14:textId="77777777" w:rsidTr="00B40636">
        <w:tc>
          <w:tcPr>
            <w:tcW w:w="1013" w:type="pct"/>
            <w:shd w:val="pct5" w:color="auto" w:fill="auto"/>
          </w:tcPr>
          <w:p w14:paraId="700ACBEC" w14:textId="77777777" w:rsidR="009C4B4C" w:rsidRPr="009402CE" w:rsidRDefault="009C4B4C" w:rsidP="00D17115">
            <w:pPr>
              <w:jc w:val="both"/>
              <w:rPr>
                <w:rFonts w:eastAsia="Times New Roman" w:cs="Calibri"/>
                <w:b/>
                <w:color w:val="000000"/>
                <w:lang w:eastAsia="en-AU"/>
              </w:rPr>
            </w:pPr>
            <w:r w:rsidRPr="009402CE">
              <w:rPr>
                <w:rFonts w:eastAsia="Times New Roman" w:cs="Calibri"/>
                <w:b/>
                <w:color w:val="000000"/>
                <w:lang w:eastAsia="en-AU"/>
              </w:rPr>
              <w:t>Business Unit:</w:t>
            </w:r>
          </w:p>
        </w:tc>
        <w:tc>
          <w:tcPr>
            <w:tcW w:w="3987" w:type="pct"/>
            <w:gridSpan w:val="3"/>
            <w:shd w:val="clear" w:color="auto" w:fill="auto"/>
          </w:tcPr>
          <w:p w14:paraId="693E1930" w14:textId="552DD0DF" w:rsidR="009C4B4C" w:rsidRPr="009402CE" w:rsidRDefault="0057459E" w:rsidP="0057459E">
            <w:pPr>
              <w:jc w:val="both"/>
              <w:rPr>
                <w:rFonts w:eastAsia="Times New Roman" w:cs="Calibri"/>
                <w:color w:val="000000"/>
                <w:lang w:eastAsia="en-AU"/>
              </w:rPr>
            </w:pPr>
            <w:r>
              <w:rPr>
                <w:rFonts w:eastAsia="Times New Roman" w:cs="Calibri"/>
                <w:color w:val="000000"/>
                <w:lang w:eastAsia="en-AU"/>
              </w:rPr>
              <w:t>Marketing</w:t>
            </w:r>
            <w:r w:rsidR="00BA50E2">
              <w:rPr>
                <w:rFonts w:eastAsia="Times New Roman" w:cs="Calibri"/>
                <w:color w:val="000000"/>
                <w:lang w:eastAsia="en-AU"/>
              </w:rPr>
              <w:t xml:space="preserve"> and Community</w:t>
            </w:r>
          </w:p>
        </w:tc>
      </w:tr>
      <w:tr w:rsidR="002F0B91" w:rsidRPr="009402CE" w14:paraId="35E51976" w14:textId="77777777" w:rsidTr="00B40636">
        <w:tc>
          <w:tcPr>
            <w:tcW w:w="1013" w:type="pct"/>
            <w:shd w:val="pct5" w:color="auto" w:fill="auto"/>
          </w:tcPr>
          <w:p w14:paraId="60FB9717" w14:textId="77777777" w:rsidR="002F0B91" w:rsidRPr="009402CE" w:rsidRDefault="002F0B91" w:rsidP="00D17115">
            <w:pPr>
              <w:jc w:val="both"/>
              <w:rPr>
                <w:rFonts w:eastAsia="Times New Roman" w:cs="Calibri"/>
                <w:b/>
                <w:color w:val="000000"/>
                <w:lang w:eastAsia="en-AU"/>
              </w:rPr>
            </w:pPr>
            <w:r>
              <w:rPr>
                <w:rFonts w:eastAsia="Times New Roman" w:cs="Calibri"/>
                <w:b/>
                <w:color w:val="000000"/>
                <w:lang w:eastAsia="en-AU"/>
              </w:rPr>
              <w:t>Location:</w:t>
            </w:r>
          </w:p>
        </w:tc>
        <w:tc>
          <w:tcPr>
            <w:tcW w:w="3987" w:type="pct"/>
            <w:gridSpan w:val="3"/>
            <w:shd w:val="clear" w:color="auto" w:fill="auto"/>
          </w:tcPr>
          <w:p w14:paraId="2EE04278" w14:textId="28034474" w:rsidR="002F0B91" w:rsidRPr="009402CE" w:rsidRDefault="00981D3D" w:rsidP="001732A3">
            <w:pPr>
              <w:jc w:val="both"/>
              <w:rPr>
                <w:rFonts w:eastAsia="Times New Roman" w:cs="Calibri"/>
                <w:color w:val="000000"/>
                <w:lang w:eastAsia="en-AU"/>
              </w:rPr>
            </w:pPr>
            <w:r>
              <w:rPr>
                <w:rFonts w:eastAsia="Times New Roman" w:cs="Calibri"/>
                <w:color w:val="000000"/>
                <w:lang w:eastAsia="en-AU"/>
              </w:rPr>
              <w:t>Melbourne</w:t>
            </w:r>
          </w:p>
        </w:tc>
      </w:tr>
      <w:tr w:rsidR="002F0B91" w:rsidRPr="009402CE" w14:paraId="37966906" w14:textId="77777777" w:rsidTr="00B40636">
        <w:trPr>
          <w:trHeight w:val="254"/>
        </w:trPr>
        <w:tc>
          <w:tcPr>
            <w:tcW w:w="1013" w:type="pct"/>
            <w:shd w:val="pct5" w:color="auto" w:fill="auto"/>
          </w:tcPr>
          <w:p w14:paraId="2AB4CAD8" w14:textId="1C7F2600" w:rsidR="002F0B91" w:rsidRDefault="002F0B91" w:rsidP="00D17115">
            <w:pPr>
              <w:jc w:val="both"/>
              <w:rPr>
                <w:rFonts w:eastAsia="Times New Roman" w:cs="Calibri"/>
                <w:b/>
                <w:color w:val="000000"/>
                <w:lang w:eastAsia="en-AU"/>
              </w:rPr>
            </w:pPr>
            <w:r>
              <w:rPr>
                <w:rFonts w:eastAsia="Times New Roman" w:cs="Calibri"/>
                <w:b/>
                <w:color w:val="000000"/>
                <w:lang w:eastAsia="en-AU"/>
              </w:rPr>
              <w:t>FTE:</w:t>
            </w:r>
          </w:p>
        </w:tc>
        <w:tc>
          <w:tcPr>
            <w:tcW w:w="1498" w:type="pct"/>
            <w:shd w:val="clear" w:color="auto" w:fill="auto"/>
          </w:tcPr>
          <w:p w14:paraId="74D67D88" w14:textId="5DABB831" w:rsidR="002F0B91" w:rsidRDefault="00422F34">
            <w:pPr>
              <w:jc w:val="both"/>
              <w:rPr>
                <w:rFonts w:eastAsia="Times New Roman" w:cs="Calibri"/>
                <w:color w:val="000000"/>
                <w:lang w:eastAsia="en-AU"/>
              </w:rPr>
            </w:pPr>
            <w:r>
              <w:rPr>
                <w:rFonts w:eastAsia="Times New Roman" w:cs="Calibri"/>
                <w:color w:val="000000"/>
                <w:lang w:eastAsia="en-AU"/>
              </w:rPr>
              <w:t>1.0</w:t>
            </w:r>
            <w:r w:rsidR="009E20CF">
              <w:rPr>
                <w:rFonts w:eastAsia="Times New Roman" w:cs="Calibri"/>
                <w:color w:val="000000"/>
                <w:lang w:eastAsia="en-AU"/>
              </w:rPr>
              <w:t xml:space="preserve"> FTE</w:t>
            </w:r>
            <w:r w:rsidR="00401F68">
              <w:rPr>
                <w:rFonts w:eastAsia="Times New Roman" w:cs="Calibri"/>
                <w:color w:val="000000"/>
                <w:lang w:eastAsia="en-AU"/>
              </w:rPr>
              <w:t xml:space="preserve"> </w:t>
            </w:r>
          </w:p>
        </w:tc>
        <w:tc>
          <w:tcPr>
            <w:tcW w:w="944" w:type="pct"/>
            <w:shd w:val="pct5" w:color="auto" w:fill="auto"/>
          </w:tcPr>
          <w:p w14:paraId="639ACC08" w14:textId="7F54BD62" w:rsidR="002F0B91" w:rsidRDefault="002F0B91" w:rsidP="00D17115">
            <w:pPr>
              <w:jc w:val="both"/>
              <w:rPr>
                <w:rFonts w:eastAsia="Times New Roman" w:cs="Calibri"/>
                <w:b/>
                <w:color w:val="000000"/>
                <w:lang w:eastAsia="en-AU"/>
              </w:rPr>
            </w:pPr>
            <w:r>
              <w:rPr>
                <w:rFonts w:eastAsia="Times New Roman" w:cs="Calibri"/>
                <w:b/>
                <w:color w:val="000000"/>
                <w:lang w:eastAsia="en-AU"/>
              </w:rPr>
              <w:t>Status:</w:t>
            </w:r>
          </w:p>
        </w:tc>
        <w:tc>
          <w:tcPr>
            <w:tcW w:w="1545" w:type="pct"/>
            <w:shd w:val="clear" w:color="auto" w:fill="auto"/>
          </w:tcPr>
          <w:p w14:paraId="44923209" w14:textId="51C8EC91" w:rsidR="002F0B91" w:rsidRDefault="00981D3D" w:rsidP="00D17115">
            <w:pPr>
              <w:jc w:val="both"/>
              <w:rPr>
                <w:rFonts w:eastAsia="Times New Roman" w:cs="Calibri"/>
                <w:color w:val="000000"/>
                <w:lang w:eastAsia="en-AU"/>
              </w:rPr>
            </w:pPr>
            <w:r>
              <w:rPr>
                <w:rFonts w:eastAsia="Times New Roman" w:cs="Calibri"/>
                <w:color w:val="000000"/>
                <w:lang w:eastAsia="en-AU"/>
              </w:rPr>
              <w:t>Permanent</w:t>
            </w:r>
            <w:r w:rsidR="00BF7384">
              <w:rPr>
                <w:rFonts w:eastAsia="Times New Roman" w:cs="Calibri"/>
                <w:color w:val="000000"/>
                <w:lang w:eastAsia="en-AU"/>
              </w:rPr>
              <w:t xml:space="preserve"> or Part time split</w:t>
            </w:r>
          </w:p>
        </w:tc>
      </w:tr>
      <w:tr w:rsidR="002F0B91" w:rsidRPr="009402CE" w14:paraId="2ADEED7D" w14:textId="77777777" w:rsidTr="00F842C1">
        <w:trPr>
          <w:trHeight w:val="70"/>
        </w:trPr>
        <w:tc>
          <w:tcPr>
            <w:tcW w:w="1013" w:type="pct"/>
            <w:shd w:val="pct5" w:color="auto" w:fill="auto"/>
          </w:tcPr>
          <w:p w14:paraId="2A807C87" w14:textId="77777777" w:rsidR="002F0B91" w:rsidRPr="009402CE" w:rsidRDefault="002F0B91" w:rsidP="007E0451">
            <w:pPr>
              <w:jc w:val="both"/>
              <w:rPr>
                <w:rFonts w:eastAsia="Times New Roman" w:cs="Calibri"/>
                <w:b/>
                <w:color w:val="000000"/>
                <w:lang w:eastAsia="en-AU"/>
              </w:rPr>
            </w:pPr>
            <w:r w:rsidRPr="009402CE">
              <w:rPr>
                <w:rFonts w:eastAsia="Times New Roman" w:cs="Calibri"/>
                <w:b/>
                <w:color w:val="000000"/>
                <w:lang w:eastAsia="en-AU"/>
              </w:rPr>
              <w:t>Incumbent:</w:t>
            </w:r>
          </w:p>
        </w:tc>
        <w:tc>
          <w:tcPr>
            <w:tcW w:w="1498" w:type="pct"/>
            <w:shd w:val="clear" w:color="auto" w:fill="auto"/>
          </w:tcPr>
          <w:p w14:paraId="1E360263" w14:textId="2BEF4DBD" w:rsidR="002F0B91" w:rsidRPr="009402CE" w:rsidRDefault="002F0B91" w:rsidP="007E0451">
            <w:pPr>
              <w:jc w:val="both"/>
              <w:rPr>
                <w:rFonts w:eastAsia="Times New Roman" w:cs="Calibri"/>
                <w:color w:val="000000"/>
                <w:lang w:eastAsia="en-AU"/>
              </w:rPr>
            </w:pPr>
          </w:p>
        </w:tc>
        <w:tc>
          <w:tcPr>
            <w:tcW w:w="944" w:type="pct"/>
            <w:shd w:val="pct5" w:color="auto" w:fill="auto"/>
          </w:tcPr>
          <w:p w14:paraId="19066469" w14:textId="77777777" w:rsidR="002F0B91" w:rsidRPr="009402CE" w:rsidRDefault="002F0B91" w:rsidP="007E0451">
            <w:pPr>
              <w:jc w:val="both"/>
              <w:rPr>
                <w:rFonts w:eastAsia="Times New Roman" w:cs="Calibri"/>
                <w:b/>
                <w:color w:val="000000"/>
                <w:lang w:eastAsia="en-AU"/>
              </w:rPr>
            </w:pPr>
            <w:r>
              <w:rPr>
                <w:rFonts w:eastAsia="Times New Roman" w:cs="Calibri"/>
                <w:b/>
                <w:color w:val="000000"/>
                <w:lang w:eastAsia="en-AU"/>
              </w:rPr>
              <w:t>Date Effective:</w:t>
            </w:r>
          </w:p>
        </w:tc>
        <w:tc>
          <w:tcPr>
            <w:tcW w:w="1545" w:type="pct"/>
            <w:shd w:val="clear" w:color="auto" w:fill="auto"/>
          </w:tcPr>
          <w:p w14:paraId="2546DED2" w14:textId="45596971" w:rsidR="002F0B91" w:rsidRPr="009402CE" w:rsidRDefault="00981D3D" w:rsidP="007E0451">
            <w:pPr>
              <w:jc w:val="both"/>
              <w:rPr>
                <w:rFonts w:eastAsia="Times New Roman" w:cs="Calibri"/>
                <w:color w:val="000000"/>
                <w:lang w:eastAsia="en-AU"/>
              </w:rPr>
            </w:pPr>
            <w:r>
              <w:rPr>
                <w:rFonts w:eastAsia="Times New Roman" w:cs="Calibri"/>
                <w:color w:val="000000"/>
                <w:lang w:eastAsia="en-AU"/>
              </w:rPr>
              <w:t>19 December 2019</w:t>
            </w:r>
          </w:p>
        </w:tc>
      </w:tr>
    </w:tbl>
    <w:p w14:paraId="2C28F98C" w14:textId="77777777" w:rsidR="002F0B91" w:rsidRDefault="002F0B91" w:rsidP="00721DDC">
      <w:pPr>
        <w:pStyle w:val="Default"/>
        <w:rPr>
          <w:rFonts w:asciiTheme="minorHAnsi" w:hAnsiTheme="minorHAnsi"/>
          <w:b/>
          <w:bCs/>
          <w:sz w:val="22"/>
          <w:szCs w:val="22"/>
        </w:rPr>
      </w:pPr>
    </w:p>
    <w:p w14:paraId="3AFA2C41" w14:textId="77777777" w:rsidR="002F0B91" w:rsidRDefault="002F0B91" w:rsidP="00721DDC">
      <w:pPr>
        <w:pStyle w:val="Default"/>
        <w:rPr>
          <w:rFonts w:asciiTheme="minorHAnsi" w:hAnsiTheme="minorHAnsi"/>
          <w:b/>
          <w:bCs/>
          <w:sz w:val="22"/>
          <w:szCs w:val="22"/>
        </w:rPr>
      </w:pPr>
    </w:p>
    <w:p w14:paraId="5D4CBC0B" w14:textId="77777777" w:rsidR="00721DDC" w:rsidRPr="00C74C62" w:rsidRDefault="00721DDC" w:rsidP="00721DDC">
      <w:pPr>
        <w:pStyle w:val="Default"/>
        <w:rPr>
          <w:rFonts w:asciiTheme="minorHAnsi" w:hAnsiTheme="minorHAnsi"/>
          <w:sz w:val="22"/>
          <w:szCs w:val="22"/>
        </w:rPr>
      </w:pPr>
      <w:r w:rsidRPr="00C74C62">
        <w:rPr>
          <w:rFonts w:asciiTheme="minorHAnsi" w:hAnsiTheme="minorHAnsi"/>
          <w:b/>
          <w:bCs/>
          <w:sz w:val="22"/>
          <w:szCs w:val="22"/>
        </w:rPr>
        <w:t xml:space="preserve">Kidney Health Australia </w:t>
      </w:r>
    </w:p>
    <w:p w14:paraId="340D9655" w14:textId="1E1CC107" w:rsidR="00BD21F2" w:rsidRDefault="00C760C2" w:rsidP="00A44650">
      <w:pPr>
        <w:pStyle w:val="Default"/>
        <w:rPr>
          <w:sz w:val="22"/>
        </w:rPr>
      </w:pPr>
      <w:r>
        <w:rPr>
          <w:sz w:val="22"/>
        </w:rPr>
        <w:t>Kidney Health Australia</w:t>
      </w:r>
      <w:r w:rsidR="00A44650" w:rsidRPr="00A44650">
        <w:rPr>
          <w:sz w:val="22"/>
        </w:rPr>
        <w:t xml:space="preserve"> was established in 1968 as the Australian Kidney Foundation.  We are</w:t>
      </w:r>
      <w:r w:rsidR="00BD21F2">
        <w:rPr>
          <w:sz w:val="22"/>
        </w:rPr>
        <w:t xml:space="preserve"> a recognised voice for kidney health in Australia and a valued and trusted partner in the chronic disease community. We provide a lifeline to people with kidney disease and other kidney conditions at every stage of their journey.  We promote and support research into the prevention, detection, treatment and cure of kidney disease so that one day, every Australian will have health</w:t>
      </w:r>
      <w:r w:rsidR="008B4ED5">
        <w:rPr>
          <w:sz w:val="22"/>
        </w:rPr>
        <w:t>y</w:t>
      </w:r>
      <w:r w:rsidR="00BD21F2">
        <w:rPr>
          <w:sz w:val="22"/>
        </w:rPr>
        <w:t xml:space="preserve"> kidneys.</w:t>
      </w:r>
    </w:p>
    <w:p w14:paraId="4253C28B" w14:textId="77777777" w:rsidR="00721DDC" w:rsidRPr="00A44650" w:rsidRDefault="00721DDC" w:rsidP="00721DDC">
      <w:pPr>
        <w:pStyle w:val="Default"/>
        <w:rPr>
          <w:rFonts w:asciiTheme="minorHAnsi" w:hAnsiTheme="minorHAnsi"/>
          <w:b/>
          <w:bCs/>
          <w:sz w:val="20"/>
          <w:szCs w:val="22"/>
        </w:rPr>
      </w:pPr>
    </w:p>
    <w:p w14:paraId="225B2C02" w14:textId="3022116B" w:rsidR="00721DDC" w:rsidRPr="00C74C62" w:rsidRDefault="00721DDC" w:rsidP="00721DDC">
      <w:pPr>
        <w:pStyle w:val="Default"/>
        <w:rPr>
          <w:rFonts w:asciiTheme="minorHAnsi" w:hAnsiTheme="minorHAnsi"/>
          <w:sz w:val="22"/>
          <w:szCs w:val="22"/>
        </w:rPr>
      </w:pPr>
      <w:r w:rsidRPr="00C74C62">
        <w:rPr>
          <w:rFonts w:asciiTheme="minorHAnsi" w:hAnsiTheme="minorHAnsi"/>
          <w:b/>
          <w:bCs/>
          <w:sz w:val="22"/>
          <w:szCs w:val="22"/>
        </w:rPr>
        <w:t xml:space="preserve">Overview </w:t>
      </w:r>
    </w:p>
    <w:p w14:paraId="16124229" w14:textId="1FC6055F" w:rsidR="000753E6" w:rsidRDefault="003C08E0" w:rsidP="00401F68">
      <w:pPr>
        <w:rPr>
          <w:rFonts w:cs="AdelleSans-Light"/>
        </w:rPr>
      </w:pPr>
      <w:r>
        <w:rPr>
          <w:rFonts w:cs="AdelleSans-Light"/>
        </w:rPr>
        <w:t>The</w:t>
      </w:r>
      <w:r w:rsidR="00401F68" w:rsidRPr="00B225DA">
        <w:rPr>
          <w:rFonts w:cs="AdelleSans-Light"/>
        </w:rPr>
        <w:t xml:space="preserve"> </w:t>
      </w:r>
      <w:r w:rsidR="000753E6">
        <w:rPr>
          <w:rFonts w:cs="AdelleSans-Light"/>
        </w:rPr>
        <w:t xml:space="preserve">Kidney Health Australia Helpline is the </w:t>
      </w:r>
      <w:r w:rsidR="00401F68" w:rsidRPr="00B225DA">
        <w:rPr>
          <w:rFonts w:cs="AdelleSans-Light"/>
        </w:rPr>
        <w:t xml:space="preserve">port of call for many </w:t>
      </w:r>
      <w:r w:rsidR="00401F68">
        <w:rPr>
          <w:rFonts w:cs="AdelleSans-Light"/>
        </w:rPr>
        <w:t>people with kidney disease</w:t>
      </w:r>
      <w:r w:rsidR="00401F68" w:rsidRPr="00B225DA">
        <w:rPr>
          <w:rFonts w:cs="AdelleSans-Light"/>
        </w:rPr>
        <w:t xml:space="preserve"> and </w:t>
      </w:r>
      <w:r w:rsidR="00401F68">
        <w:rPr>
          <w:rFonts w:cs="AdelleSans-Light"/>
        </w:rPr>
        <w:t xml:space="preserve">their family members or </w:t>
      </w:r>
      <w:r w:rsidR="00401F68" w:rsidRPr="00B225DA">
        <w:rPr>
          <w:rFonts w:cs="AdelleSans-Light"/>
        </w:rPr>
        <w:t>carers.</w:t>
      </w:r>
      <w:r w:rsidR="00401F68">
        <w:rPr>
          <w:rFonts w:cs="AdelleSans-Light"/>
        </w:rPr>
        <w:t xml:space="preserve"> It is the moment where those enquirers have contact with someone who can provide the information and support they are searching for, at a time where they need it most.</w:t>
      </w:r>
      <w:r w:rsidR="00401F68" w:rsidRPr="00B225DA">
        <w:rPr>
          <w:rFonts w:cs="AdelleSans-Light"/>
        </w:rPr>
        <w:t xml:space="preserve"> </w:t>
      </w:r>
    </w:p>
    <w:p w14:paraId="4B32CB40" w14:textId="77777777" w:rsidR="000753E6" w:rsidRDefault="000753E6" w:rsidP="00401F68">
      <w:pPr>
        <w:rPr>
          <w:rFonts w:cs="AdelleSans-Light"/>
        </w:rPr>
      </w:pPr>
    </w:p>
    <w:p w14:paraId="24F81888" w14:textId="12C1B040" w:rsidR="000753E6" w:rsidRDefault="000753E6" w:rsidP="00401F68">
      <w:pPr>
        <w:rPr>
          <w:rFonts w:cs="AdelleSans-Light"/>
        </w:rPr>
      </w:pPr>
      <w:r>
        <w:rPr>
          <w:rFonts w:cs="AdelleSans-Light"/>
        </w:rPr>
        <w:t>The Helpline team respond</w:t>
      </w:r>
      <w:r w:rsidR="00401F68">
        <w:rPr>
          <w:rFonts w:cs="AdelleSans-Light"/>
        </w:rPr>
        <w:t xml:space="preserve"> to almost 2,000 enquiries per year </w:t>
      </w:r>
      <w:r>
        <w:rPr>
          <w:rFonts w:cs="AdelleSans-Light"/>
        </w:rPr>
        <w:t>with the aim to grow awareness of the support that can be provided, and grow the Kidney Health Australia community through channelling callers through to appropriate areas of interest and support</w:t>
      </w:r>
      <w:r w:rsidR="00B570CD">
        <w:rPr>
          <w:rFonts w:cs="AdelleSans-Light"/>
        </w:rPr>
        <w:t xml:space="preserve"> while ensuring their details are added to the community database.</w:t>
      </w:r>
    </w:p>
    <w:p w14:paraId="7B3FE2A5" w14:textId="77777777" w:rsidR="000753E6" w:rsidRDefault="000753E6" w:rsidP="00401F68">
      <w:pPr>
        <w:rPr>
          <w:rFonts w:cs="AdelleSans-Light"/>
        </w:rPr>
      </w:pPr>
    </w:p>
    <w:p w14:paraId="59892022" w14:textId="74A8C299" w:rsidR="00401F68" w:rsidRPr="0010483C" w:rsidRDefault="000753E6" w:rsidP="00401F68">
      <w:pPr>
        <w:rPr>
          <w:rFonts w:cstheme="minorHAnsi"/>
          <w:color w:val="000000"/>
        </w:rPr>
      </w:pPr>
      <w:r>
        <w:rPr>
          <w:rFonts w:cstheme="minorHAnsi"/>
          <w:color w:val="000000"/>
        </w:rPr>
        <w:t>The Helpline manage</w:t>
      </w:r>
      <w:r w:rsidR="00E80DD3">
        <w:rPr>
          <w:rFonts w:cstheme="minorHAnsi"/>
          <w:color w:val="000000"/>
        </w:rPr>
        <w:t>s</w:t>
      </w:r>
      <w:r>
        <w:rPr>
          <w:rFonts w:cstheme="minorHAnsi"/>
          <w:color w:val="000000"/>
        </w:rPr>
        <w:t xml:space="preserve"> the following activities</w:t>
      </w:r>
      <w:r w:rsidR="00A33F55">
        <w:rPr>
          <w:rFonts w:cstheme="minorHAnsi"/>
          <w:color w:val="000000"/>
        </w:rPr>
        <w:t xml:space="preserve"> to support the kidney community, including young people</w:t>
      </w:r>
      <w:r w:rsidR="00CD35F5">
        <w:rPr>
          <w:rFonts w:cstheme="minorHAnsi"/>
          <w:color w:val="000000"/>
        </w:rPr>
        <w:t xml:space="preserve"> living with kidney disease</w:t>
      </w:r>
      <w:r w:rsidR="00401F68" w:rsidRPr="0010483C">
        <w:rPr>
          <w:rFonts w:cstheme="minorHAnsi"/>
          <w:color w:val="000000"/>
        </w:rPr>
        <w:t>:</w:t>
      </w:r>
    </w:p>
    <w:p w14:paraId="7CA29D0D" w14:textId="20C28DF9" w:rsidR="00401F68" w:rsidRDefault="00401F68" w:rsidP="003E397C">
      <w:pPr>
        <w:pStyle w:val="ListParagraph"/>
        <w:numPr>
          <w:ilvl w:val="0"/>
          <w:numId w:val="54"/>
        </w:numPr>
        <w:rPr>
          <w:rFonts w:cstheme="minorHAnsi"/>
          <w:color w:val="000000"/>
        </w:rPr>
      </w:pPr>
      <w:r>
        <w:rPr>
          <w:rFonts w:cstheme="minorHAnsi"/>
          <w:color w:val="000000"/>
        </w:rPr>
        <w:t>implement</w:t>
      </w:r>
      <w:r w:rsidR="00E80DD3">
        <w:rPr>
          <w:rFonts w:cstheme="minorHAnsi"/>
          <w:color w:val="000000"/>
        </w:rPr>
        <w:t>s</w:t>
      </w:r>
      <w:r>
        <w:rPr>
          <w:rFonts w:cstheme="minorHAnsi"/>
          <w:color w:val="000000"/>
        </w:rPr>
        <w:t xml:space="preserve"> triaging protocols f</w:t>
      </w:r>
      <w:r w:rsidR="003C08E0">
        <w:rPr>
          <w:rFonts w:cstheme="minorHAnsi"/>
          <w:color w:val="000000"/>
        </w:rPr>
        <w:t xml:space="preserve">or all enquires to the </w:t>
      </w:r>
      <w:r>
        <w:rPr>
          <w:rFonts w:cstheme="minorHAnsi"/>
          <w:color w:val="000000"/>
        </w:rPr>
        <w:t>Kidney Helpline</w:t>
      </w:r>
    </w:p>
    <w:p w14:paraId="057000B9" w14:textId="62CD44F3" w:rsidR="00401F68" w:rsidRDefault="00401F68" w:rsidP="003E397C">
      <w:pPr>
        <w:pStyle w:val="ListParagraph"/>
        <w:numPr>
          <w:ilvl w:val="0"/>
          <w:numId w:val="54"/>
        </w:numPr>
        <w:rPr>
          <w:rFonts w:cstheme="minorHAnsi"/>
          <w:color w:val="000000"/>
        </w:rPr>
      </w:pPr>
      <w:r>
        <w:rPr>
          <w:rFonts w:cstheme="minorHAnsi"/>
          <w:color w:val="000000"/>
        </w:rPr>
        <w:t>provide</w:t>
      </w:r>
      <w:r w:rsidR="00E80DD3">
        <w:rPr>
          <w:rFonts w:cstheme="minorHAnsi"/>
          <w:color w:val="000000"/>
        </w:rPr>
        <w:t>s</w:t>
      </w:r>
      <w:r>
        <w:rPr>
          <w:rFonts w:cstheme="minorHAnsi"/>
          <w:color w:val="000000"/>
        </w:rPr>
        <w:t xml:space="preserve"> general information about Kidney Health Australia programs and services</w:t>
      </w:r>
    </w:p>
    <w:p w14:paraId="1D2F2172" w14:textId="0C25E3D0" w:rsidR="00B570CD" w:rsidRDefault="00B570CD" w:rsidP="003E397C">
      <w:pPr>
        <w:pStyle w:val="ListParagraph"/>
        <w:numPr>
          <w:ilvl w:val="0"/>
          <w:numId w:val="54"/>
        </w:numPr>
        <w:rPr>
          <w:rFonts w:cstheme="minorHAnsi"/>
          <w:color w:val="000000"/>
        </w:rPr>
      </w:pPr>
      <w:r>
        <w:rPr>
          <w:rFonts w:cstheme="minorHAnsi"/>
          <w:color w:val="000000"/>
        </w:rPr>
        <w:t>connect</w:t>
      </w:r>
      <w:r w:rsidR="00E80DD3">
        <w:rPr>
          <w:rFonts w:cstheme="minorHAnsi"/>
          <w:color w:val="000000"/>
        </w:rPr>
        <w:t>s</w:t>
      </w:r>
      <w:r>
        <w:rPr>
          <w:rFonts w:cstheme="minorHAnsi"/>
          <w:color w:val="000000"/>
        </w:rPr>
        <w:t xml:space="preserve"> people</w:t>
      </w:r>
      <w:r w:rsidR="00A33F55">
        <w:rPr>
          <w:rFonts w:cstheme="minorHAnsi"/>
          <w:color w:val="000000"/>
        </w:rPr>
        <w:t xml:space="preserve"> </w:t>
      </w:r>
      <w:r>
        <w:rPr>
          <w:rFonts w:cstheme="minorHAnsi"/>
          <w:color w:val="000000"/>
        </w:rPr>
        <w:t>to appropriate resources, programs and services of K</w:t>
      </w:r>
      <w:r w:rsidR="00EB06F8">
        <w:rPr>
          <w:rFonts w:cstheme="minorHAnsi"/>
          <w:color w:val="000000"/>
        </w:rPr>
        <w:t>idney Health Australia</w:t>
      </w:r>
    </w:p>
    <w:p w14:paraId="51A5BD26" w14:textId="23A0CE94" w:rsidR="00BF7384" w:rsidRPr="00BF7384" w:rsidRDefault="00BF7384" w:rsidP="00BF7384">
      <w:pPr>
        <w:pStyle w:val="ListParagraph"/>
        <w:numPr>
          <w:ilvl w:val="0"/>
          <w:numId w:val="54"/>
        </w:numPr>
        <w:rPr>
          <w:rFonts w:cstheme="minorHAnsi"/>
          <w:color w:val="000000"/>
        </w:rPr>
      </w:pPr>
      <w:r>
        <w:rPr>
          <w:rFonts w:cstheme="minorHAnsi"/>
          <w:color w:val="000000"/>
        </w:rPr>
        <w:t>manages Kidney Health Australia’s standard response library for dissemination across all communication channels</w:t>
      </w:r>
    </w:p>
    <w:p w14:paraId="34D87C92" w14:textId="2B279220" w:rsidR="00401F68" w:rsidRDefault="00401F68" w:rsidP="003E397C">
      <w:pPr>
        <w:pStyle w:val="ListParagraph"/>
        <w:numPr>
          <w:ilvl w:val="0"/>
          <w:numId w:val="54"/>
        </w:numPr>
        <w:rPr>
          <w:rFonts w:cstheme="minorHAnsi"/>
          <w:color w:val="000000"/>
        </w:rPr>
      </w:pPr>
      <w:proofErr w:type="gramStart"/>
      <w:r>
        <w:rPr>
          <w:rFonts w:cstheme="minorHAnsi"/>
          <w:color w:val="000000"/>
        </w:rPr>
        <w:t>provide</w:t>
      </w:r>
      <w:r w:rsidR="00E80DD3">
        <w:rPr>
          <w:rFonts w:cstheme="minorHAnsi"/>
          <w:color w:val="000000"/>
        </w:rPr>
        <w:t>s</w:t>
      </w:r>
      <w:proofErr w:type="gramEnd"/>
      <w:r>
        <w:rPr>
          <w:rFonts w:cstheme="minorHAnsi"/>
          <w:color w:val="000000"/>
        </w:rPr>
        <w:t xml:space="preserve"> appropriate advice regarding referral to other community organisations or health services</w:t>
      </w:r>
      <w:r w:rsidR="000753E6">
        <w:rPr>
          <w:rFonts w:cstheme="minorHAnsi"/>
          <w:color w:val="000000"/>
        </w:rPr>
        <w:t>.</w:t>
      </w:r>
    </w:p>
    <w:p w14:paraId="76557D78" w14:textId="77777777" w:rsidR="000753E6" w:rsidRDefault="000753E6" w:rsidP="003E397C">
      <w:pPr>
        <w:rPr>
          <w:rFonts w:cstheme="minorHAnsi"/>
          <w:color w:val="000000"/>
        </w:rPr>
      </w:pPr>
    </w:p>
    <w:p w14:paraId="425D6A0F" w14:textId="0F2E9B16" w:rsidR="000753E6" w:rsidRDefault="000753E6" w:rsidP="003E397C">
      <w:pPr>
        <w:rPr>
          <w:rFonts w:cstheme="minorHAnsi"/>
          <w:color w:val="000000"/>
        </w:rPr>
      </w:pPr>
      <w:r>
        <w:rPr>
          <w:rFonts w:cstheme="minorHAnsi"/>
          <w:color w:val="000000"/>
        </w:rPr>
        <w:t xml:space="preserve">The </w:t>
      </w:r>
      <w:r w:rsidR="004466AF">
        <w:rPr>
          <w:rFonts w:cstheme="minorHAnsi"/>
          <w:color w:val="000000"/>
        </w:rPr>
        <w:t xml:space="preserve">Helpline </w:t>
      </w:r>
      <w:r w:rsidR="00E62AB2">
        <w:rPr>
          <w:rFonts w:cstheme="minorHAnsi"/>
          <w:color w:val="000000"/>
        </w:rPr>
        <w:t>Manager</w:t>
      </w:r>
      <w:r>
        <w:rPr>
          <w:rFonts w:cstheme="minorHAnsi"/>
          <w:color w:val="000000"/>
        </w:rPr>
        <w:t xml:space="preserve"> will provide inbound call support when required, and at other times manage more specific </w:t>
      </w:r>
      <w:r w:rsidR="00401F68">
        <w:rPr>
          <w:rFonts w:cstheme="minorHAnsi"/>
          <w:color w:val="000000"/>
        </w:rPr>
        <w:t xml:space="preserve">kidney and urinary health-related </w:t>
      </w:r>
      <w:r>
        <w:rPr>
          <w:rFonts w:cstheme="minorHAnsi"/>
          <w:color w:val="000000"/>
        </w:rPr>
        <w:t>enquiries that come via the Helpline phone</w:t>
      </w:r>
      <w:r w:rsidR="00BF7384">
        <w:rPr>
          <w:rFonts w:cstheme="minorHAnsi"/>
          <w:color w:val="000000"/>
        </w:rPr>
        <w:t>,</w:t>
      </w:r>
      <w:r>
        <w:rPr>
          <w:rFonts w:cstheme="minorHAnsi"/>
          <w:color w:val="000000"/>
        </w:rPr>
        <w:t xml:space="preserve"> email</w:t>
      </w:r>
      <w:r w:rsidR="00BF7384">
        <w:rPr>
          <w:rFonts w:cstheme="minorHAnsi"/>
          <w:color w:val="000000"/>
        </w:rPr>
        <w:t xml:space="preserve"> or social media</w:t>
      </w:r>
      <w:r>
        <w:rPr>
          <w:rFonts w:cstheme="minorHAnsi"/>
          <w:color w:val="000000"/>
        </w:rPr>
        <w:t>.</w:t>
      </w:r>
    </w:p>
    <w:p w14:paraId="0A005F7B" w14:textId="77777777" w:rsidR="00BF7384" w:rsidRDefault="00BF7384" w:rsidP="003E397C">
      <w:pPr>
        <w:rPr>
          <w:rFonts w:cstheme="minorHAnsi"/>
          <w:color w:val="000000"/>
        </w:rPr>
      </w:pPr>
    </w:p>
    <w:p w14:paraId="6137933E" w14:textId="7D1686C0" w:rsidR="000753E6" w:rsidRDefault="000753E6" w:rsidP="003E397C">
      <w:pPr>
        <w:rPr>
          <w:rFonts w:cstheme="minorHAnsi"/>
          <w:color w:val="000000"/>
        </w:rPr>
      </w:pPr>
      <w:r>
        <w:rPr>
          <w:rFonts w:cstheme="minorHAnsi"/>
          <w:color w:val="000000"/>
        </w:rPr>
        <w:t xml:space="preserve">The </w:t>
      </w:r>
      <w:r w:rsidR="004466AF">
        <w:rPr>
          <w:rFonts w:cstheme="minorHAnsi"/>
          <w:color w:val="000000"/>
        </w:rPr>
        <w:t xml:space="preserve">Helpline </w:t>
      </w:r>
      <w:r w:rsidR="00E62AB2">
        <w:rPr>
          <w:rFonts w:cstheme="minorHAnsi"/>
          <w:color w:val="000000"/>
        </w:rPr>
        <w:t>Manager</w:t>
      </w:r>
      <w:r>
        <w:rPr>
          <w:rFonts w:cstheme="minorHAnsi"/>
          <w:color w:val="000000"/>
        </w:rPr>
        <w:t xml:space="preserve"> will provide support and where needed referral to other health specialists for more specific health care and support</w:t>
      </w:r>
      <w:r w:rsidR="00B570CD">
        <w:rPr>
          <w:rFonts w:cstheme="minorHAnsi"/>
          <w:color w:val="000000"/>
        </w:rPr>
        <w:t>, and ensure all new callers to the Helpline are encouraged to stay connected to the Kidney Health Australia community via our e-newsletter or other activities and programs.</w:t>
      </w:r>
    </w:p>
    <w:p w14:paraId="7A0D21E5" w14:textId="77777777" w:rsidR="00D640B7" w:rsidRDefault="00D640B7" w:rsidP="003E397C">
      <w:pPr>
        <w:rPr>
          <w:rFonts w:cstheme="minorHAnsi"/>
          <w:color w:val="000000"/>
        </w:rPr>
      </w:pPr>
    </w:p>
    <w:p w14:paraId="4B5BA5E9" w14:textId="77777777" w:rsidR="00BF7384" w:rsidRDefault="00D640B7" w:rsidP="003E397C">
      <w:pPr>
        <w:rPr>
          <w:rFonts w:ascii="Calibri" w:hAnsi="Calibri" w:cs="Calibri"/>
        </w:rPr>
      </w:pPr>
      <w:r>
        <w:rPr>
          <w:rFonts w:cstheme="minorHAnsi"/>
          <w:color w:val="000000"/>
        </w:rPr>
        <w:t xml:space="preserve">The Helpline </w:t>
      </w:r>
      <w:r w:rsidR="00E62AB2">
        <w:rPr>
          <w:rFonts w:cstheme="minorHAnsi"/>
          <w:color w:val="000000"/>
        </w:rPr>
        <w:t xml:space="preserve">Manager </w:t>
      </w:r>
      <w:r>
        <w:rPr>
          <w:rFonts w:cstheme="minorHAnsi"/>
          <w:color w:val="000000"/>
        </w:rPr>
        <w:t xml:space="preserve">will </w:t>
      </w:r>
      <w:r w:rsidR="00BF7384">
        <w:rPr>
          <w:rFonts w:cstheme="minorHAnsi"/>
          <w:color w:val="000000"/>
        </w:rPr>
        <w:t xml:space="preserve">develop and review Kidney Health Australia’s standard response database to ensure responses are </w:t>
      </w:r>
      <w:r>
        <w:rPr>
          <w:rFonts w:ascii="Calibri" w:hAnsi="Calibri" w:cs="Calibri"/>
        </w:rPr>
        <w:t>reflective of current evidence based and clinica</w:t>
      </w:r>
      <w:r w:rsidR="0057459E">
        <w:rPr>
          <w:rFonts w:ascii="Calibri" w:hAnsi="Calibri" w:cs="Calibri"/>
        </w:rPr>
        <w:t>l p</w:t>
      </w:r>
      <w:r w:rsidR="00E62AB2">
        <w:rPr>
          <w:rFonts w:ascii="Calibri" w:hAnsi="Calibri" w:cs="Calibri"/>
        </w:rPr>
        <w:t>ractice</w:t>
      </w:r>
      <w:r w:rsidR="00BF7384">
        <w:rPr>
          <w:rFonts w:ascii="Calibri" w:hAnsi="Calibri" w:cs="Calibri"/>
        </w:rPr>
        <w:t xml:space="preserve"> and appropriate for dissemination across all key communication channels</w:t>
      </w:r>
      <w:r w:rsidR="00E62AB2">
        <w:rPr>
          <w:rFonts w:ascii="Calibri" w:hAnsi="Calibri" w:cs="Calibri"/>
        </w:rPr>
        <w:t xml:space="preserve">. </w:t>
      </w:r>
    </w:p>
    <w:p w14:paraId="7F0FA1F8" w14:textId="77777777" w:rsidR="00BF7384" w:rsidRDefault="00BF7384" w:rsidP="003E397C">
      <w:pPr>
        <w:rPr>
          <w:rFonts w:ascii="Calibri" w:hAnsi="Calibri" w:cs="Calibri"/>
        </w:rPr>
      </w:pPr>
    </w:p>
    <w:p w14:paraId="64DA5642" w14:textId="15F8A647" w:rsidR="00D640B7" w:rsidRPr="003E397C" w:rsidRDefault="00E62AB2" w:rsidP="003E397C">
      <w:pPr>
        <w:rPr>
          <w:rFonts w:ascii="Calibri" w:hAnsi="Calibri"/>
        </w:rPr>
      </w:pPr>
      <w:r>
        <w:rPr>
          <w:rFonts w:ascii="Calibri" w:hAnsi="Calibri" w:cs="Calibri"/>
        </w:rPr>
        <w:t>The Helpline Manager</w:t>
      </w:r>
      <w:r w:rsidR="00D640B7">
        <w:rPr>
          <w:rFonts w:ascii="Calibri" w:hAnsi="Calibri" w:cs="Calibri"/>
        </w:rPr>
        <w:t xml:space="preserve"> will </w:t>
      </w:r>
      <w:r w:rsidR="00BF7384">
        <w:rPr>
          <w:rFonts w:ascii="Calibri" w:hAnsi="Calibri" w:cs="Calibri"/>
        </w:rPr>
        <w:t xml:space="preserve">also </w:t>
      </w:r>
      <w:r w:rsidR="00D640B7">
        <w:rPr>
          <w:rFonts w:ascii="Calibri" w:hAnsi="Calibri" w:cs="Calibri"/>
        </w:rPr>
        <w:t xml:space="preserve">work with the </w:t>
      </w:r>
      <w:r w:rsidR="00212BDE">
        <w:rPr>
          <w:rFonts w:ascii="Calibri" w:hAnsi="Calibri" w:cs="Calibri"/>
        </w:rPr>
        <w:t>Policy</w:t>
      </w:r>
      <w:r w:rsidR="00F965C4">
        <w:rPr>
          <w:rFonts w:ascii="Calibri" w:hAnsi="Calibri" w:cs="Calibri"/>
        </w:rPr>
        <w:t xml:space="preserve"> and Advocacy</w:t>
      </w:r>
      <w:r w:rsidR="00D640B7">
        <w:rPr>
          <w:rFonts w:ascii="Calibri" w:hAnsi="Calibri" w:cs="Calibri"/>
        </w:rPr>
        <w:t xml:space="preserve"> team and the Marketing and Commu</w:t>
      </w:r>
      <w:r w:rsidR="0057459E">
        <w:rPr>
          <w:rFonts w:ascii="Calibri" w:hAnsi="Calibri" w:cs="Calibri"/>
        </w:rPr>
        <w:t>nity</w:t>
      </w:r>
      <w:r w:rsidR="00D640B7">
        <w:rPr>
          <w:rFonts w:ascii="Calibri" w:hAnsi="Calibri" w:cs="Calibri"/>
        </w:rPr>
        <w:t xml:space="preserve"> team to </w:t>
      </w:r>
      <w:r w:rsidR="00D640B7">
        <w:rPr>
          <w:rFonts w:ascii="Calibri" w:hAnsi="Calibri"/>
        </w:rPr>
        <w:t>ensure resources are curated, repurposed and disseminated appropriately through all of Kidney Health Australia’s consumer touchpoints.</w:t>
      </w:r>
    </w:p>
    <w:p w14:paraId="41273568" w14:textId="77777777" w:rsidR="004466AF" w:rsidRDefault="004466AF" w:rsidP="003E397C">
      <w:pPr>
        <w:rPr>
          <w:rFonts w:cstheme="minorHAnsi"/>
          <w:color w:val="000000"/>
        </w:rPr>
      </w:pPr>
    </w:p>
    <w:p w14:paraId="71CBCFA5" w14:textId="5BAF1134" w:rsidR="00067A95" w:rsidRPr="00C760C2" w:rsidRDefault="00067A95" w:rsidP="003E397C">
      <w:r>
        <w:t xml:space="preserve">This position is supported by </w:t>
      </w:r>
      <w:r w:rsidR="000753E6">
        <w:t xml:space="preserve">the </w:t>
      </w:r>
      <w:r w:rsidR="004466AF">
        <w:t>Senior Supporter Care Consultant</w:t>
      </w:r>
      <w:r w:rsidR="000753E6">
        <w:t xml:space="preserve">, </w:t>
      </w:r>
      <w:r>
        <w:t>the General Manager</w:t>
      </w:r>
      <w:r w:rsidR="0057459E">
        <w:t xml:space="preserve"> Marketing </w:t>
      </w:r>
      <w:r w:rsidR="00042566">
        <w:t>and Community</w:t>
      </w:r>
      <w:r w:rsidR="000753E6">
        <w:t>, the broader team</w:t>
      </w:r>
      <w:r w:rsidR="00042566">
        <w:t xml:space="preserve"> and the </w:t>
      </w:r>
      <w:r w:rsidR="00212BDE">
        <w:t xml:space="preserve">Policy </w:t>
      </w:r>
      <w:r w:rsidR="00F965C4">
        <w:t>and Advocacy</w:t>
      </w:r>
      <w:r w:rsidR="00D640B7">
        <w:t xml:space="preserve"> team</w:t>
      </w:r>
      <w:r>
        <w:t xml:space="preserve">.  </w:t>
      </w:r>
    </w:p>
    <w:p w14:paraId="6B5035D4" w14:textId="77777777" w:rsidR="00F842C1" w:rsidRPr="00C760C2" w:rsidRDefault="00F842C1" w:rsidP="00F842C1">
      <w:pPr>
        <w:pStyle w:val="ListParagraph"/>
        <w:ind w:left="0"/>
        <w:rPr>
          <w:rFonts w:cstheme="minorHAnsi"/>
          <w:color w:val="000000"/>
        </w:rPr>
      </w:pPr>
    </w:p>
    <w:p w14:paraId="6B6BACB6" w14:textId="06EAA9BE" w:rsidR="00C760C2" w:rsidRPr="003E397C" w:rsidRDefault="00C760C2" w:rsidP="003E397C">
      <w:pPr>
        <w:spacing w:after="160" w:line="259" w:lineRule="auto"/>
        <w:rPr>
          <w:b/>
          <w:sz w:val="24"/>
          <w:szCs w:val="24"/>
        </w:rPr>
      </w:pPr>
      <w:r w:rsidRPr="003E397C">
        <w:rPr>
          <w:b/>
        </w:rPr>
        <w:t>DUTIES AND RESPONSIBILITIES</w:t>
      </w:r>
    </w:p>
    <w:tbl>
      <w:tblPr>
        <w:tblStyle w:val="TableGrid"/>
        <w:tblW w:w="9351" w:type="dxa"/>
        <w:tblLook w:val="04A0" w:firstRow="1" w:lastRow="0" w:firstColumn="1" w:lastColumn="0" w:noHBand="0" w:noVBand="1"/>
      </w:tblPr>
      <w:tblGrid>
        <w:gridCol w:w="2681"/>
        <w:gridCol w:w="6670"/>
      </w:tblGrid>
      <w:tr w:rsidR="00C760C2" w:rsidRPr="00277F92" w14:paraId="6948FF65" w14:textId="77777777" w:rsidTr="007A0255">
        <w:tc>
          <w:tcPr>
            <w:tcW w:w="2681" w:type="dxa"/>
            <w:shd w:val="clear" w:color="auto" w:fill="E7E6E6" w:themeFill="background2"/>
          </w:tcPr>
          <w:p w14:paraId="19013F71" w14:textId="77777777" w:rsidR="00C760C2" w:rsidRPr="00277F92" w:rsidRDefault="00C760C2" w:rsidP="007A0255">
            <w:pPr>
              <w:rPr>
                <w:b/>
              </w:rPr>
            </w:pPr>
            <w:r>
              <w:rPr>
                <w:b/>
              </w:rPr>
              <w:t>DUTY</w:t>
            </w:r>
          </w:p>
        </w:tc>
        <w:tc>
          <w:tcPr>
            <w:tcW w:w="6670" w:type="dxa"/>
            <w:shd w:val="clear" w:color="auto" w:fill="E7E6E6" w:themeFill="background2"/>
          </w:tcPr>
          <w:p w14:paraId="5FEB848D" w14:textId="77777777" w:rsidR="00C760C2" w:rsidRPr="00277F92" w:rsidRDefault="00C760C2" w:rsidP="007A0255">
            <w:pPr>
              <w:rPr>
                <w:b/>
              </w:rPr>
            </w:pPr>
            <w:r>
              <w:rPr>
                <w:b/>
              </w:rPr>
              <w:t>ACCOUNTABILITIES</w:t>
            </w:r>
          </w:p>
        </w:tc>
      </w:tr>
      <w:tr w:rsidR="00C760C2" w14:paraId="2BBE58A6" w14:textId="77777777" w:rsidTr="007A0255">
        <w:tc>
          <w:tcPr>
            <w:tcW w:w="2681" w:type="dxa"/>
          </w:tcPr>
          <w:p w14:paraId="28C90827" w14:textId="77777777" w:rsidR="00C760C2" w:rsidRPr="00D230FE" w:rsidRDefault="00C760C2" w:rsidP="007A0255">
            <w:r>
              <w:t>Kidney Helpline</w:t>
            </w:r>
          </w:p>
        </w:tc>
        <w:tc>
          <w:tcPr>
            <w:tcW w:w="6670" w:type="dxa"/>
          </w:tcPr>
          <w:p w14:paraId="04F55D03" w14:textId="1009E214" w:rsidR="00401F68" w:rsidRDefault="00067A95" w:rsidP="0069697A">
            <w:pPr>
              <w:pStyle w:val="ListParagraph"/>
              <w:numPr>
                <w:ilvl w:val="0"/>
                <w:numId w:val="40"/>
              </w:numPr>
            </w:pPr>
            <w:r>
              <w:t xml:space="preserve">Daily responsibility for </w:t>
            </w:r>
            <w:r w:rsidR="0004629B">
              <w:t>delivering high quality health information and advice related to kidney health issues</w:t>
            </w:r>
            <w:r w:rsidR="00042566">
              <w:t xml:space="preserve"> through the Helpline via </w:t>
            </w:r>
            <w:r w:rsidR="00C760C2">
              <w:t>telephone and</w:t>
            </w:r>
            <w:r w:rsidR="00042566">
              <w:t xml:space="preserve"> </w:t>
            </w:r>
            <w:r w:rsidR="00C760C2">
              <w:t xml:space="preserve">email </w:t>
            </w:r>
          </w:p>
          <w:p w14:paraId="4FD53BBE" w14:textId="4FEDB0B3" w:rsidR="00BF7384" w:rsidRPr="008C2BA1" w:rsidRDefault="00C760C2" w:rsidP="00BF7384">
            <w:pPr>
              <w:pStyle w:val="ListParagraph"/>
              <w:numPr>
                <w:ilvl w:val="0"/>
                <w:numId w:val="40"/>
              </w:numPr>
            </w:pPr>
            <w:r w:rsidRPr="008C2BA1">
              <w:t>Ensure that Helpline policy documentation is updated and maintained as required</w:t>
            </w:r>
          </w:p>
          <w:p w14:paraId="2C2371BC" w14:textId="6632DD26" w:rsidR="00C05F1F" w:rsidRDefault="00C05F1F" w:rsidP="0069697A">
            <w:pPr>
              <w:pStyle w:val="ListParagraph"/>
              <w:numPr>
                <w:ilvl w:val="0"/>
                <w:numId w:val="40"/>
              </w:numPr>
            </w:pPr>
            <w:r>
              <w:t>Manage the inputting and updating of customer data in the CRM system via Helpline enquiries</w:t>
            </w:r>
          </w:p>
          <w:p w14:paraId="57DCBF2B" w14:textId="77777777" w:rsidR="00C05F1F" w:rsidRDefault="00C05F1F" w:rsidP="0069697A">
            <w:pPr>
              <w:pStyle w:val="ListParagraph"/>
              <w:numPr>
                <w:ilvl w:val="0"/>
                <w:numId w:val="40"/>
              </w:numPr>
            </w:pPr>
            <w:r>
              <w:t>Positively engage new consumers accessing the Helpline to connect to Kidney Health Australia through e-newsletter, programs or services, or other fundraising and volunteering activities</w:t>
            </w:r>
          </w:p>
          <w:p w14:paraId="6CA09C0A" w14:textId="575F21FE" w:rsidR="00BF7384" w:rsidRDefault="00BF7384" w:rsidP="0069697A">
            <w:pPr>
              <w:pStyle w:val="ListParagraph"/>
              <w:numPr>
                <w:ilvl w:val="0"/>
                <w:numId w:val="40"/>
              </w:numPr>
            </w:pPr>
            <w:r>
              <w:t>Develop and maintain Kidney Health Australia’s standard response database for dissemination across Helpline and other communication channels, including social media</w:t>
            </w:r>
          </w:p>
          <w:p w14:paraId="6CBB7D05" w14:textId="77777777" w:rsidR="000B0BFF" w:rsidRDefault="0069697A" w:rsidP="007643A9">
            <w:pPr>
              <w:pStyle w:val="ListParagraph"/>
              <w:numPr>
                <w:ilvl w:val="0"/>
                <w:numId w:val="40"/>
              </w:numPr>
            </w:pPr>
            <w:r w:rsidRPr="008C2BA1">
              <w:t>Design and implement service improvements originating from evaluation processes and other feedback mechanisms</w:t>
            </w:r>
          </w:p>
          <w:p w14:paraId="672C5B7B" w14:textId="02A3AE76" w:rsidR="00BF7384" w:rsidRPr="00420F38" w:rsidRDefault="00BF7384" w:rsidP="007643A9">
            <w:pPr>
              <w:pStyle w:val="ListParagraph"/>
              <w:numPr>
                <w:ilvl w:val="0"/>
                <w:numId w:val="40"/>
              </w:numPr>
            </w:pPr>
            <w:r>
              <w:t>Provide expert opinion as required to manage health enquiries coming via other channels</w:t>
            </w:r>
          </w:p>
        </w:tc>
      </w:tr>
      <w:tr w:rsidR="00C812C8" w14:paraId="1AE6C403" w14:textId="77777777" w:rsidTr="007A0255">
        <w:tc>
          <w:tcPr>
            <w:tcW w:w="2681" w:type="dxa"/>
          </w:tcPr>
          <w:p w14:paraId="7C371D3E" w14:textId="20D52BC9" w:rsidR="00C812C8" w:rsidRDefault="00C812C8" w:rsidP="007A0255">
            <w:r>
              <w:t>CARE team support</w:t>
            </w:r>
          </w:p>
        </w:tc>
        <w:tc>
          <w:tcPr>
            <w:tcW w:w="6670" w:type="dxa"/>
          </w:tcPr>
          <w:p w14:paraId="206279AA" w14:textId="77777777" w:rsidR="00C812C8" w:rsidRDefault="00C812C8" w:rsidP="00D640B7">
            <w:pPr>
              <w:numPr>
                <w:ilvl w:val="0"/>
                <w:numId w:val="16"/>
              </w:numPr>
              <w:rPr>
                <w:rFonts w:ascii="Calibri" w:hAnsi="Calibri" w:cs="Calibri"/>
              </w:rPr>
            </w:pPr>
            <w:r>
              <w:rPr>
                <w:rFonts w:ascii="Calibri" w:hAnsi="Calibri" w:cs="Calibri"/>
              </w:rPr>
              <w:t>Provide back up to the CARE team consultant in assisting with inbound calls when required</w:t>
            </w:r>
          </w:p>
          <w:p w14:paraId="6969CCE8" w14:textId="648F8957" w:rsidR="00C812C8" w:rsidRDefault="00C812C8" w:rsidP="00C812C8">
            <w:pPr>
              <w:numPr>
                <w:ilvl w:val="0"/>
                <w:numId w:val="16"/>
              </w:numPr>
              <w:rPr>
                <w:rFonts w:ascii="Calibri" w:hAnsi="Calibri" w:cs="Calibri"/>
              </w:rPr>
            </w:pPr>
            <w:r>
              <w:rPr>
                <w:rFonts w:ascii="Calibri" w:hAnsi="Calibri" w:cs="Calibri"/>
              </w:rPr>
              <w:t>Participate in a roster situation after hours as needed to assist the CARE team consultant to ensure national service levels are maintained</w:t>
            </w:r>
          </w:p>
        </w:tc>
      </w:tr>
      <w:tr w:rsidR="00D640B7" w14:paraId="1260942E" w14:textId="77777777" w:rsidTr="007A0255">
        <w:tc>
          <w:tcPr>
            <w:tcW w:w="2681" w:type="dxa"/>
          </w:tcPr>
          <w:p w14:paraId="13828647" w14:textId="7CE22CCC" w:rsidR="00D640B7" w:rsidRDefault="00D640B7" w:rsidP="007A0255">
            <w:r>
              <w:t>Consumer education</w:t>
            </w:r>
          </w:p>
        </w:tc>
        <w:tc>
          <w:tcPr>
            <w:tcW w:w="6670" w:type="dxa"/>
          </w:tcPr>
          <w:p w14:paraId="495E16A9" w14:textId="5CEDAD81" w:rsidR="00D640B7" w:rsidRDefault="00D640B7" w:rsidP="00D640B7">
            <w:pPr>
              <w:numPr>
                <w:ilvl w:val="0"/>
                <w:numId w:val="16"/>
              </w:numPr>
              <w:rPr>
                <w:rFonts w:ascii="Calibri" w:hAnsi="Calibri" w:cs="Calibri"/>
              </w:rPr>
            </w:pPr>
            <w:r>
              <w:rPr>
                <w:rFonts w:ascii="Calibri" w:hAnsi="Calibri" w:cs="Calibri"/>
              </w:rPr>
              <w:t xml:space="preserve">Ensure all KHA educational resources are consistent </w:t>
            </w:r>
            <w:r w:rsidR="00357406">
              <w:rPr>
                <w:rFonts w:ascii="Calibri" w:hAnsi="Calibri" w:cs="Calibri"/>
              </w:rPr>
              <w:t>with health literacy principles</w:t>
            </w:r>
          </w:p>
          <w:p w14:paraId="25058A4B" w14:textId="35FBFBA6" w:rsidR="00D640B7" w:rsidRPr="00854C97" w:rsidRDefault="00AF5D5D" w:rsidP="003E397C">
            <w:pPr>
              <w:numPr>
                <w:ilvl w:val="0"/>
                <w:numId w:val="16"/>
              </w:numPr>
              <w:rPr>
                <w:rFonts w:ascii="Calibri" w:hAnsi="Calibri" w:cs="Calibri"/>
              </w:rPr>
            </w:pPr>
            <w:r w:rsidRPr="00854C97">
              <w:rPr>
                <w:rFonts w:ascii="Calibri" w:hAnsi="Calibri" w:cs="Calibri"/>
              </w:rPr>
              <w:t>M</w:t>
            </w:r>
            <w:r w:rsidR="00355C40" w:rsidRPr="00854C97">
              <w:rPr>
                <w:rFonts w:ascii="Calibri" w:hAnsi="Calibri" w:cs="Calibri"/>
              </w:rPr>
              <w:t>anage</w:t>
            </w:r>
            <w:r w:rsidR="000B0BFF" w:rsidRPr="00854C97">
              <w:rPr>
                <w:rFonts w:ascii="Calibri" w:hAnsi="Calibri" w:cs="Calibri"/>
              </w:rPr>
              <w:t xml:space="preserve"> distr</w:t>
            </w:r>
            <w:r w:rsidRPr="00854C97">
              <w:rPr>
                <w:rFonts w:ascii="Calibri" w:hAnsi="Calibri" w:cs="Calibri"/>
              </w:rPr>
              <w:t xml:space="preserve">ibution of </w:t>
            </w:r>
            <w:r w:rsidR="007643A9" w:rsidRPr="00854C97">
              <w:rPr>
                <w:rFonts w:ascii="Calibri" w:hAnsi="Calibri" w:cs="Calibri"/>
              </w:rPr>
              <w:t xml:space="preserve">consumer </w:t>
            </w:r>
            <w:r w:rsidRPr="00854C97">
              <w:rPr>
                <w:rFonts w:ascii="Calibri" w:hAnsi="Calibri" w:cs="Calibri"/>
              </w:rPr>
              <w:t>resources</w:t>
            </w:r>
            <w:r w:rsidR="00355C40" w:rsidRPr="00854C97">
              <w:rPr>
                <w:rFonts w:ascii="Calibri" w:hAnsi="Calibri" w:cs="Calibri"/>
              </w:rPr>
              <w:t xml:space="preserve"> ordere</w:t>
            </w:r>
            <w:r w:rsidRPr="00854C97">
              <w:rPr>
                <w:rFonts w:ascii="Calibri" w:hAnsi="Calibri" w:cs="Calibri"/>
              </w:rPr>
              <w:t>d via email, Helpline or website</w:t>
            </w:r>
          </w:p>
          <w:p w14:paraId="1166087E" w14:textId="03299165" w:rsidR="00BF7384" w:rsidRPr="00BF7384" w:rsidDel="00042566" w:rsidRDefault="00AF5D5D" w:rsidP="00BF7384">
            <w:pPr>
              <w:numPr>
                <w:ilvl w:val="0"/>
                <w:numId w:val="16"/>
              </w:numPr>
              <w:rPr>
                <w:rFonts w:ascii="Calibri" w:hAnsi="Calibri" w:cs="Calibri"/>
              </w:rPr>
            </w:pPr>
            <w:r w:rsidRPr="00854C97">
              <w:rPr>
                <w:rFonts w:ascii="Calibri" w:hAnsi="Calibri" w:cs="Calibri"/>
              </w:rPr>
              <w:t>Ensure consumer resources are available and up to date, and collaborate with digital marketing team to manage any updates</w:t>
            </w:r>
          </w:p>
        </w:tc>
      </w:tr>
      <w:tr w:rsidR="00C760C2" w14:paraId="4BE02FD3" w14:textId="77777777" w:rsidTr="007A0255">
        <w:tc>
          <w:tcPr>
            <w:tcW w:w="2681" w:type="dxa"/>
          </w:tcPr>
          <w:p w14:paraId="2744DE07" w14:textId="66CF0F76" w:rsidR="00C760C2" w:rsidRPr="00D230FE" w:rsidRDefault="00C760C2" w:rsidP="007A0255">
            <w:r>
              <w:t>Human Resources</w:t>
            </w:r>
          </w:p>
        </w:tc>
        <w:tc>
          <w:tcPr>
            <w:tcW w:w="6670" w:type="dxa"/>
          </w:tcPr>
          <w:p w14:paraId="18067C6D" w14:textId="462308BA" w:rsidR="00C760C2" w:rsidRPr="00420F38" w:rsidRDefault="00C760C2">
            <w:pPr>
              <w:pStyle w:val="ListParagraph"/>
              <w:numPr>
                <w:ilvl w:val="0"/>
                <w:numId w:val="16"/>
              </w:numPr>
              <w:spacing w:after="40"/>
              <w:contextualSpacing w:val="0"/>
            </w:pPr>
            <w:r w:rsidRPr="00420F38">
              <w:t xml:space="preserve">Ensure </w:t>
            </w:r>
            <w:r>
              <w:t>the Helplin</w:t>
            </w:r>
            <w:r w:rsidR="0069697A">
              <w:t>e</w:t>
            </w:r>
            <w:r w:rsidRPr="00420F38">
              <w:t xml:space="preserve"> is resourced according to budget </w:t>
            </w:r>
          </w:p>
        </w:tc>
      </w:tr>
      <w:tr w:rsidR="00C760C2" w14:paraId="0F5BCDA8" w14:textId="77777777" w:rsidTr="007A0255">
        <w:tc>
          <w:tcPr>
            <w:tcW w:w="2681" w:type="dxa"/>
          </w:tcPr>
          <w:p w14:paraId="405B9F69" w14:textId="77777777" w:rsidR="00C760C2" w:rsidRPr="00D230FE" w:rsidRDefault="00C760C2" w:rsidP="007A0255">
            <w:r w:rsidRPr="00D230FE">
              <w:t xml:space="preserve">Financial </w:t>
            </w:r>
            <w:r>
              <w:t xml:space="preserve">and Business </w:t>
            </w:r>
            <w:r w:rsidRPr="00D230FE">
              <w:t>Management</w:t>
            </w:r>
          </w:p>
        </w:tc>
        <w:tc>
          <w:tcPr>
            <w:tcW w:w="6670" w:type="dxa"/>
          </w:tcPr>
          <w:p w14:paraId="15FF6773" w14:textId="094EBAA3" w:rsidR="00C760C2" w:rsidRPr="00420F38" w:rsidRDefault="00C760C2" w:rsidP="007A0255">
            <w:pPr>
              <w:pStyle w:val="ListParagraph"/>
              <w:numPr>
                <w:ilvl w:val="0"/>
                <w:numId w:val="16"/>
              </w:numPr>
              <w:spacing w:after="40"/>
              <w:ind w:left="357" w:hanging="357"/>
              <w:contextualSpacing w:val="0"/>
            </w:pPr>
            <w:r w:rsidRPr="00420F38">
              <w:t xml:space="preserve">Manage the delegated </w:t>
            </w:r>
            <w:r>
              <w:t>Helpline program budget</w:t>
            </w:r>
          </w:p>
          <w:p w14:paraId="02305443" w14:textId="77777777" w:rsidR="00C760C2" w:rsidRPr="00420F38" w:rsidRDefault="00C760C2" w:rsidP="007A0255">
            <w:pPr>
              <w:pStyle w:val="ListParagraph"/>
              <w:numPr>
                <w:ilvl w:val="0"/>
                <w:numId w:val="16"/>
              </w:numPr>
              <w:spacing w:after="40"/>
              <w:ind w:left="357" w:hanging="357"/>
              <w:contextualSpacing w:val="0"/>
            </w:pPr>
            <w:r>
              <w:lastRenderedPageBreak/>
              <w:t>Undertake t</w:t>
            </w:r>
            <w:r w:rsidRPr="00420F38">
              <w:t>imely and accurate delivery of monthly financial/budget review ac</w:t>
            </w:r>
            <w:r>
              <w:t>tivities</w:t>
            </w:r>
          </w:p>
          <w:p w14:paraId="65EB4FA8" w14:textId="77777777" w:rsidR="00C760C2" w:rsidRPr="00420F38" w:rsidRDefault="00C760C2" w:rsidP="007A0255">
            <w:pPr>
              <w:pStyle w:val="ListParagraph"/>
              <w:numPr>
                <w:ilvl w:val="0"/>
                <w:numId w:val="16"/>
              </w:numPr>
              <w:spacing w:after="40"/>
              <w:ind w:left="357" w:hanging="357"/>
              <w:contextualSpacing w:val="0"/>
            </w:pPr>
            <w:r w:rsidRPr="008C2BA1">
              <w:t>Undertake reporting and evaluation tasks at least every quarter, and more frequently if required</w:t>
            </w:r>
          </w:p>
        </w:tc>
      </w:tr>
      <w:tr w:rsidR="00C760C2" w14:paraId="650E87F3" w14:textId="77777777" w:rsidTr="007A0255">
        <w:tc>
          <w:tcPr>
            <w:tcW w:w="2681" w:type="dxa"/>
          </w:tcPr>
          <w:p w14:paraId="4FED4F8A" w14:textId="77777777" w:rsidR="00C760C2" w:rsidRPr="00D230FE" w:rsidRDefault="00C760C2" w:rsidP="007A0255">
            <w:r w:rsidRPr="00D230FE">
              <w:lastRenderedPageBreak/>
              <w:t>Stakeholder Engagement</w:t>
            </w:r>
          </w:p>
        </w:tc>
        <w:tc>
          <w:tcPr>
            <w:tcW w:w="6670" w:type="dxa"/>
          </w:tcPr>
          <w:p w14:paraId="5E115319" w14:textId="17E94774" w:rsidR="00C760C2" w:rsidRPr="00756D42" w:rsidRDefault="00C760C2" w:rsidP="007A0255">
            <w:pPr>
              <w:pStyle w:val="ListParagraph"/>
              <w:numPr>
                <w:ilvl w:val="0"/>
                <w:numId w:val="21"/>
              </w:numPr>
              <w:spacing w:after="40"/>
              <w:ind w:left="357" w:hanging="357"/>
              <w:contextualSpacing w:val="0"/>
            </w:pPr>
            <w:r w:rsidRPr="00756D42">
              <w:t>Build and maintain relationships with a range of clinical  to maximise the impact</w:t>
            </w:r>
            <w:r w:rsidR="00E90FC0">
              <w:t xml:space="preserve"> and</w:t>
            </w:r>
            <w:r w:rsidRPr="00756D42">
              <w:t xml:space="preserve"> uptake  of </w:t>
            </w:r>
            <w:r>
              <w:t xml:space="preserve">the Helpline </w:t>
            </w:r>
          </w:p>
          <w:p w14:paraId="0FCDCBC2" w14:textId="5DD09CD3" w:rsidR="00C760C2" w:rsidRPr="00C760C2" w:rsidRDefault="00C760C2">
            <w:pPr>
              <w:pStyle w:val="ListParagraph"/>
              <w:numPr>
                <w:ilvl w:val="0"/>
                <w:numId w:val="21"/>
              </w:numPr>
              <w:spacing w:after="40"/>
              <w:ind w:left="357" w:hanging="357"/>
              <w:contextualSpacing w:val="0"/>
            </w:pPr>
            <w:r w:rsidRPr="00756D42">
              <w:t xml:space="preserve">Maintain strong relationships with individuals and organisations who support the </w:t>
            </w:r>
            <w:r>
              <w:t xml:space="preserve">development and </w:t>
            </w:r>
            <w:r w:rsidRPr="00756D42">
              <w:t xml:space="preserve">delivery of </w:t>
            </w:r>
            <w:r>
              <w:t xml:space="preserve">the Helpline </w:t>
            </w:r>
          </w:p>
        </w:tc>
      </w:tr>
    </w:tbl>
    <w:p w14:paraId="305CFC8D" w14:textId="32A4F15C" w:rsidR="00C760C2" w:rsidRPr="00C604B2" w:rsidRDefault="00C760C2" w:rsidP="003C48A2">
      <w:pPr>
        <w:pStyle w:val="Heading2"/>
        <w:spacing w:before="360"/>
      </w:pPr>
      <w:r w:rsidRPr="00C604B2">
        <w:t xml:space="preserve">WORKING AT </w:t>
      </w:r>
      <w:r w:rsidRPr="003C48A2">
        <w:rPr>
          <w:caps/>
        </w:rPr>
        <w:t>Kidney Health Australia</w:t>
      </w:r>
    </w:p>
    <w:tbl>
      <w:tblPr>
        <w:tblStyle w:val="TableGrid"/>
        <w:tblW w:w="9351" w:type="dxa"/>
        <w:tblLook w:val="04A0" w:firstRow="1" w:lastRow="0" w:firstColumn="1" w:lastColumn="0" w:noHBand="0" w:noVBand="1"/>
      </w:tblPr>
      <w:tblGrid>
        <w:gridCol w:w="2681"/>
        <w:gridCol w:w="6670"/>
      </w:tblGrid>
      <w:tr w:rsidR="00C760C2" w14:paraId="17929A88" w14:textId="77777777" w:rsidTr="007A0255">
        <w:tc>
          <w:tcPr>
            <w:tcW w:w="2681" w:type="dxa"/>
          </w:tcPr>
          <w:p w14:paraId="7A518C87" w14:textId="77777777" w:rsidR="00C760C2" w:rsidRPr="00F531A1" w:rsidRDefault="00C760C2" w:rsidP="007A0255">
            <w:r>
              <w:t>Travel</w:t>
            </w:r>
          </w:p>
        </w:tc>
        <w:tc>
          <w:tcPr>
            <w:tcW w:w="6670" w:type="dxa"/>
          </w:tcPr>
          <w:p w14:paraId="2589190C" w14:textId="2DCCC873" w:rsidR="00C760C2" w:rsidRDefault="00C760C2" w:rsidP="006C2C23">
            <w:pPr>
              <w:pStyle w:val="ListParagraph"/>
              <w:numPr>
                <w:ilvl w:val="0"/>
                <w:numId w:val="57"/>
              </w:numPr>
              <w:ind w:left="360"/>
            </w:pPr>
            <w:r>
              <w:t>To be available for domestic and interstate travel as required</w:t>
            </w:r>
          </w:p>
        </w:tc>
      </w:tr>
      <w:tr w:rsidR="00C760C2" w14:paraId="41732DE7" w14:textId="77777777" w:rsidTr="007A0255">
        <w:tc>
          <w:tcPr>
            <w:tcW w:w="2681" w:type="dxa"/>
          </w:tcPr>
          <w:p w14:paraId="6E3F1D95" w14:textId="77777777" w:rsidR="00C760C2" w:rsidRDefault="00C760C2" w:rsidP="007A0255">
            <w:r>
              <w:t>Direct Reports</w:t>
            </w:r>
          </w:p>
        </w:tc>
        <w:tc>
          <w:tcPr>
            <w:tcW w:w="6670" w:type="dxa"/>
          </w:tcPr>
          <w:p w14:paraId="6664BB52" w14:textId="2345F981" w:rsidR="00C760C2" w:rsidRDefault="00C760C2">
            <w:pPr>
              <w:pStyle w:val="ListParagraph"/>
              <w:numPr>
                <w:ilvl w:val="0"/>
                <w:numId w:val="4"/>
              </w:numPr>
            </w:pPr>
            <w:r>
              <w:t>The incumbent may be responsible for monitoring and supporting Kidney Health Australia volunteers and their work</w:t>
            </w:r>
          </w:p>
        </w:tc>
      </w:tr>
      <w:tr w:rsidR="00C760C2" w14:paraId="051A6554" w14:textId="77777777" w:rsidTr="007A0255">
        <w:tc>
          <w:tcPr>
            <w:tcW w:w="2681" w:type="dxa"/>
          </w:tcPr>
          <w:p w14:paraId="7AB4CD15" w14:textId="77777777" w:rsidR="00C760C2" w:rsidRDefault="00C760C2" w:rsidP="007A0255">
            <w:r>
              <w:t>Internal Reporting and communication</w:t>
            </w:r>
          </w:p>
        </w:tc>
        <w:tc>
          <w:tcPr>
            <w:tcW w:w="6670" w:type="dxa"/>
          </w:tcPr>
          <w:p w14:paraId="052C9A7D" w14:textId="2C203D05" w:rsidR="00C760C2" w:rsidRDefault="00C760C2" w:rsidP="007A0255">
            <w:pPr>
              <w:pStyle w:val="ListParagraph"/>
              <w:numPr>
                <w:ilvl w:val="0"/>
                <w:numId w:val="4"/>
              </w:numPr>
            </w:pPr>
            <w:r>
              <w:t>Monitor and evaluate activities and write reports for Kidney Health Australia as required</w:t>
            </w:r>
          </w:p>
          <w:p w14:paraId="1B2F6AA1" w14:textId="67D807B4" w:rsidR="00C760C2" w:rsidRDefault="00C760C2" w:rsidP="00C760C2">
            <w:pPr>
              <w:pStyle w:val="ListParagraph"/>
              <w:numPr>
                <w:ilvl w:val="0"/>
                <w:numId w:val="4"/>
              </w:numPr>
            </w:pPr>
            <w:r>
              <w:t>Attend regular Business Unit meetings and other Kidney Health Australia meetings as required</w:t>
            </w:r>
          </w:p>
        </w:tc>
      </w:tr>
      <w:tr w:rsidR="00C760C2" w14:paraId="149754FF" w14:textId="77777777" w:rsidTr="007A0255">
        <w:tc>
          <w:tcPr>
            <w:tcW w:w="2681" w:type="dxa"/>
          </w:tcPr>
          <w:p w14:paraId="60ADFBE4" w14:textId="77777777" w:rsidR="00C760C2" w:rsidRDefault="00C760C2" w:rsidP="007A0255">
            <w:r>
              <w:t>Teamwork</w:t>
            </w:r>
          </w:p>
        </w:tc>
        <w:tc>
          <w:tcPr>
            <w:tcW w:w="6670" w:type="dxa"/>
          </w:tcPr>
          <w:p w14:paraId="0DA53266" w14:textId="1DF8D747" w:rsidR="00C760C2" w:rsidRDefault="00C760C2" w:rsidP="007A0255">
            <w:pPr>
              <w:pStyle w:val="ListParagraph"/>
              <w:numPr>
                <w:ilvl w:val="0"/>
                <w:numId w:val="4"/>
              </w:numPr>
            </w:pPr>
            <w:r>
              <w:t xml:space="preserve">Contribute to a positive team environment by working collaboratively with and communicating effectively with </w:t>
            </w:r>
            <w:r w:rsidR="0069697A">
              <w:t>the rest of the CARE</w:t>
            </w:r>
            <w:r>
              <w:t xml:space="preserve"> team</w:t>
            </w:r>
            <w:r w:rsidR="00B5112A">
              <w:t>, the</w:t>
            </w:r>
            <w:r w:rsidR="00BF7384">
              <w:t xml:space="preserve"> broader Marketing</w:t>
            </w:r>
            <w:r w:rsidR="0069697A">
              <w:t xml:space="preserve"> and Community </w:t>
            </w:r>
            <w:r w:rsidR="00E97070">
              <w:t>and Policy</w:t>
            </w:r>
            <w:r w:rsidR="00B5112A">
              <w:t xml:space="preserve"> and Advocacy </w:t>
            </w:r>
            <w:r w:rsidR="0069697A">
              <w:t>team</w:t>
            </w:r>
            <w:r w:rsidR="00B5112A">
              <w:t>s</w:t>
            </w:r>
            <w:r w:rsidR="0069697A">
              <w:t>,</w:t>
            </w:r>
            <w:r>
              <w:t xml:space="preserve"> </w:t>
            </w:r>
            <w:r w:rsidR="0069697A">
              <w:t xml:space="preserve">and </w:t>
            </w:r>
            <w:r>
              <w:t>staff from other Kidney Health Australia business units</w:t>
            </w:r>
          </w:p>
          <w:p w14:paraId="6E678440" w14:textId="4503F7CB" w:rsidR="00BF7384" w:rsidRDefault="00BF7384" w:rsidP="007A0255">
            <w:pPr>
              <w:pStyle w:val="ListParagraph"/>
              <w:numPr>
                <w:ilvl w:val="0"/>
                <w:numId w:val="4"/>
              </w:numPr>
            </w:pPr>
            <w:r>
              <w:t>Undertake other work activities as required by the GM, Marketing and Community</w:t>
            </w:r>
          </w:p>
          <w:p w14:paraId="4DC1BFF8" w14:textId="77777777" w:rsidR="00C760C2" w:rsidRDefault="00C760C2" w:rsidP="007A0255">
            <w:pPr>
              <w:pStyle w:val="ListParagraph"/>
              <w:numPr>
                <w:ilvl w:val="0"/>
                <w:numId w:val="4"/>
              </w:numPr>
            </w:pPr>
            <w:r>
              <w:t>Ensure work completed is consistent with Kidney Health Australia values and processes</w:t>
            </w:r>
          </w:p>
          <w:p w14:paraId="158B1AFF" w14:textId="3110A0A3" w:rsidR="00C05F1F" w:rsidRDefault="00C05F1F">
            <w:pPr>
              <w:pStyle w:val="ListParagraph"/>
              <w:numPr>
                <w:ilvl w:val="0"/>
                <w:numId w:val="4"/>
              </w:numPr>
            </w:pPr>
            <w:r>
              <w:t>Participate in acquiring knowledge and understanding of new technologies and programs to enhance work capability</w:t>
            </w:r>
          </w:p>
        </w:tc>
      </w:tr>
      <w:tr w:rsidR="00C760C2" w14:paraId="73D04867" w14:textId="77777777" w:rsidTr="007A0255">
        <w:tc>
          <w:tcPr>
            <w:tcW w:w="2681" w:type="dxa"/>
          </w:tcPr>
          <w:p w14:paraId="0CA4827F" w14:textId="2432A830" w:rsidR="00C760C2" w:rsidRDefault="005C40C7" w:rsidP="007A0255">
            <w:r>
              <w:t xml:space="preserve">Representing </w:t>
            </w:r>
            <w:r w:rsidR="00EB06F8">
              <w:t>Kidney Health Australia</w:t>
            </w:r>
            <w:r w:rsidR="0010360E">
              <w:t xml:space="preserve"> in a customer facing role</w:t>
            </w:r>
          </w:p>
        </w:tc>
        <w:tc>
          <w:tcPr>
            <w:tcW w:w="6670" w:type="dxa"/>
          </w:tcPr>
          <w:p w14:paraId="39F682AB" w14:textId="466B0D0F" w:rsidR="0010360E" w:rsidRDefault="0010360E" w:rsidP="006C2C23">
            <w:pPr>
              <w:pStyle w:val="ListParagraph"/>
              <w:numPr>
                <w:ilvl w:val="0"/>
                <w:numId w:val="56"/>
              </w:numPr>
            </w:pPr>
            <w:r>
              <w:t>As the manager of a key consumer touchpoint, ensure all dealings with the public are conducted in a friendly, helpful and professional manner</w:t>
            </w:r>
          </w:p>
          <w:p w14:paraId="2FE4B3BE" w14:textId="6CDBE8FF" w:rsidR="00C760C2" w:rsidRDefault="0010360E" w:rsidP="003E397C">
            <w:pPr>
              <w:pStyle w:val="ListParagraph"/>
              <w:numPr>
                <w:ilvl w:val="0"/>
                <w:numId w:val="56"/>
              </w:numPr>
            </w:pPr>
            <w:r>
              <w:t>Ensure the purpose and work of Kidney Health Australia is conveyed accurately and positively through all interactions with the public</w:t>
            </w:r>
          </w:p>
        </w:tc>
      </w:tr>
    </w:tbl>
    <w:p w14:paraId="152DDD5F" w14:textId="52FD3AF4" w:rsidR="00401F68" w:rsidRDefault="00401F68" w:rsidP="003C48A2">
      <w:pPr>
        <w:spacing w:before="360" w:after="120"/>
        <w:rPr>
          <w:b/>
          <w:sz w:val="24"/>
        </w:rPr>
      </w:pPr>
      <w:r>
        <w:rPr>
          <w:b/>
          <w:sz w:val="24"/>
        </w:rPr>
        <w:t>KEY SELECTION CRITERIA</w:t>
      </w:r>
    </w:p>
    <w:p w14:paraId="158FE3F2" w14:textId="75FF78F2" w:rsidR="00C760C2" w:rsidRPr="003C48A2" w:rsidRDefault="00C760C2" w:rsidP="003C48A2">
      <w:pPr>
        <w:spacing w:before="360" w:after="120"/>
        <w:rPr>
          <w:b/>
          <w:sz w:val="24"/>
        </w:rPr>
      </w:pPr>
      <w:r w:rsidRPr="003C48A2">
        <w:rPr>
          <w:b/>
          <w:sz w:val="24"/>
        </w:rPr>
        <w:t>QUALIFICATIONS AND EXPERIENCE</w:t>
      </w:r>
    </w:p>
    <w:tbl>
      <w:tblPr>
        <w:tblStyle w:val="TableGrid"/>
        <w:tblW w:w="9351" w:type="dxa"/>
        <w:tblLook w:val="04A0" w:firstRow="1" w:lastRow="0" w:firstColumn="1" w:lastColumn="0" w:noHBand="0" w:noVBand="1"/>
      </w:tblPr>
      <w:tblGrid>
        <w:gridCol w:w="2689"/>
        <w:gridCol w:w="6662"/>
      </w:tblGrid>
      <w:tr w:rsidR="00C760C2" w14:paraId="5F4259AC" w14:textId="77777777" w:rsidTr="007A0255">
        <w:tc>
          <w:tcPr>
            <w:tcW w:w="2689" w:type="dxa"/>
          </w:tcPr>
          <w:p w14:paraId="4C28858B" w14:textId="77777777" w:rsidR="00C760C2" w:rsidRPr="00F763CF" w:rsidRDefault="00C760C2" w:rsidP="007A0255">
            <w:pPr>
              <w:rPr>
                <w:b/>
              </w:rPr>
            </w:pPr>
            <w:r w:rsidRPr="00F763CF">
              <w:rPr>
                <w:b/>
              </w:rPr>
              <w:t xml:space="preserve">Essential </w:t>
            </w:r>
          </w:p>
        </w:tc>
        <w:tc>
          <w:tcPr>
            <w:tcW w:w="6662" w:type="dxa"/>
          </w:tcPr>
          <w:p w14:paraId="5120FD37" w14:textId="4B866C1B" w:rsidR="00C05F1F" w:rsidRDefault="00C760C2">
            <w:pPr>
              <w:pStyle w:val="ListParagraph"/>
              <w:numPr>
                <w:ilvl w:val="0"/>
                <w:numId w:val="26"/>
              </w:numPr>
              <w:ind w:left="357" w:hanging="357"/>
            </w:pPr>
            <w:r>
              <w:t xml:space="preserve">Tertiary qualifications in nursing/ health / social sciences or other relevant discipline </w:t>
            </w:r>
          </w:p>
          <w:p w14:paraId="799EFEB8" w14:textId="7EEE302E" w:rsidR="00C05F1F" w:rsidRDefault="00401F68">
            <w:pPr>
              <w:pStyle w:val="ListParagraph"/>
              <w:numPr>
                <w:ilvl w:val="0"/>
                <w:numId w:val="26"/>
              </w:numPr>
              <w:ind w:left="357" w:hanging="357"/>
            </w:pPr>
            <w:r>
              <w:t>Enrolled Nurses are encouraged to apply</w:t>
            </w:r>
          </w:p>
          <w:p w14:paraId="70649F5B" w14:textId="04099CAD" w:rsidR="0010360E" w:rsidRPr="000E6C47" w:rsidRDefault="00401F68">
            <w:pPr>
              <w:pStyle w:val="ListParagraph"/>
              <w:numPr>
                <w:ilvl w:val="0"/>
                <w:numId w:val="26"/>
              </w:numPr>
              <w:ind w:left="357" w:hanging="357"/>
            </w:pPr>
            <w:r>
              <w:t>W</w:t>
            </w:r>
            <w:r w:rsidR="00C760C2" w:rsidRPr="00D230FE">
              <w:t xml:space="preserve">orking knowledge of the </w:t>
            </w:r>
            <w:r w:rsidR="00C760C2">
              <w:t xml:space="preserve">Australian </w:t>
            </w:r>
            <w:r w:rsidR="00C760C2" w:rsidRPr="00D230FE">
              <w:t>health care system</w:t>
            </w:r>
          </w:p>
        </w:tc>
      </w:tr>
      <w:tr w:rsidR="00C760C2" w14:paraId="58FCC41E" w14:textId="77777777" w:rsidTr="007A0255">
        <w:tc>
          <w:tcPr>
            <w:tcW w:w="2689" w:type="dxa"/>
          </w:tcPr>
          <w:p w14:paraId="0F76FFD1" w14:textId="77777777" w:rsidR="00C760C2" w:rsidRPr="00F763CF" w:rsidRDefault="00C760C2" w:rsidP="007A0255">
            <w:pPr>
              <w:rPr>
                <w:b/>
              </w:rPr>
            </w:pPr>
            <w:r>
              <w:rPr>
                <w:b/>
              </w:rPr>
              <w:t>Highly desirable</w:t>
            </w:r>
          </w:p>
        </w:tc>
        <w:tc>
          <w:tcPr>
            <w:tcW w:w="6662" w:type="dxa"/>
          </w:tcPr>
          <w:p w14:paraId="7B74F67C" w14:textId="09FAD91D" w:rsidR="00C05F1F" w:rsidRDefault="0010360E">
            <w:pPr>
              <w:pStyle w:val="ListParagraph"/>
              <w:numPr>
                <w:ilvl w:val="0"/>
                <w:numId w:val="8"/>
              </w:numPr>
              <w:ind w:left="357" w:hanging="357"/>
            </w:pPr>
            <w:r>
              <w:rPr>
                <w:rFonts w:cs="Tahoma"/>
                <w:color w:val="000000"/>
              </w:rPr>
              <w:t xml:space="preserve">Sound knowledge of kidney and urinary tract diseases and related management strategies </w:t>
            </w:r>
          </w:p>
          <w:p w14:paraId="61EA7AC6" w14:textId="5EC45B2D" w:rsidR="00C05F1F" w:rsidRDefault="00C760C2">
            <w:pPr>
              <w:pStyle w:val="ListParagraph"/>
              <w:numPr>
                <w:ilvl w:val="0"/>
                <w:numId w:val="8"/>
              </w:numPr>
              <w:ind w:left="357" w:hanging="357"/>
            </w:pPr>
            <w:r w:rsidRPr="00D230FE">
              <w:lastRenderedPageBreak/>
              <w:t>Experience in</w:t>
            </w:r>
            <w:r w:rsidR="0010360E">
              <w:t xml:space="preserve"> working within a customer facing team responsible for the dissemination of health information</w:t>
            </w:r>
          </w:p>
          <w:p w14:paraId="784DBA9B" w14:textId="0ABC351C" w:rsidR="00214C95" w:rsidRDefault="0010360E" w:rsidP="003E397C">
            <w:pPr>
              <w:pStyle w:val="ListParagraph"/>
              <w:ind w:left="357"/>
            </w:pPr>
            <w:r>
              <w:t xml:space="preserve">Experience in managing consumer health data within a CRM system </w:t>
            </w:r>
          </w:p>
        </w:tc>
      </w:tr>
    </w:tbl>
    <w:p w14:paraId="3D3F62D9" w14:textId="77777777" w:rsidR="00C760C2" w:rsidRPr="003C48A2" w:rsidRDefault="00C760C2" w:rsidP="003C48A2">
      <w:pPr>
        <w:spacing w:before="360" w:after="120"/>
        <w:rPr>
          <w:b/>
          <w:sz w:val="24"/>
        </w:rPr>
      </w:pPr>
      <w:r w:rsidRPr="003C48A2">
        <w:rPr>
          <w:b/>
          <w:sz w:val="24"/>
        </w:rPr>
        <w:lastRenderedPageBreak/>
        <w:t>KNOWLEDGE, SKILLS, AND ABILITIES</w:t>
      </w:r>
    </w:p>
    <w:tbl>
      <w:tblPr>
        <w:tblStyle w:val="TableGrid"/>
        <w:tblW w:w="5000" w:type="pct"/>
        <w:tblLook w:val="04A0" w:firstRow="1" w:lastRow="0" w:firstColumn="1" w:lastColumn="0" w:noHBand="0" w:noVBand="1"/>
      </w:tblPr>
      <w:tblGrid>
        <w:gridCol w:w="9016"/>
      </w:tblGrid>
      <w:tr w:rsidR="00C760C2" w:rsidRPr="00D230FE" w14:paraId="78BFBB33" w14:textId="77777777" w:rsidTr="007A0255">
        <w:tc>
          <w:tcPr>
            <w:tcW w:w="5000" w:type="pct"/>
          </w:tcPr>
          <w:p w14:paraId="6B4AD600" w14:textId="658677B3" w:rsidR="003C48A2" w:rsidRDefault="00C760C2" w:rsidP="0010360E">
            <w:pPr>
              <w:numPr>
                <w:ilvl w:val="0"/>
                <w:numId w:val="27"/>
              </w:numPr>
              <w:rPr>
                <w:rFonts w:cs="Tahoma"/>
                <w:color w:val="000000"/>
              </w:rPr>
            </w:pPr>
            <w:r w:rsidRPr="00D230FE">
              <w:rPr>
                <w:rFonts w:cs="Tahoma"/>
                <w:color w:val="000000"/>
              </w:rPr>
              <w:t>High-level oral, written and interpersonal communication</w:t>
            </w:r>
            <w:r>
              <w:rPr>
                <w:rFonts w:cs="Tahoma"/>
                <w:color w:val="000000"/>
              </w:rPr>
              <w:t xml:space="preserve"> </w:t>
            </w:r>
            <w:r w:rsidR="003C48A2">
              <w:rPr>
                <w:rFonts w:cs="Tahoma"/>
                <w:color w:val="000000"/>
              </w:rPr>
              <w:t>skills</w:t>
            </w:r>
          </w:p>
          <w:p w14:paraId="58D10700" w14:textId="20EC8009" w:rsidR="00F965C4" w:rsidRDefault="00F965C4" w:rsidP="0010360E">
            <w:pPr>
              <w:numPr>
                <w:ilvl w:val="0"/>
                <w:numId w:val="27"/>
              </w:numPr>
              <w:rPr>
                <w:rFonts w:cs="Tahoma"/>
                <w:color w:val="000000"/>
              </w:rPr>
            </w:pPr>
            <w:r>
              <w:rPr>
                <w:rFonts w:cs="Tahoma"/>
                <w:color w:val="000000"/>
              </w:rPr>
              <w:t>Experience in medical writing abiding to health literature principles</w:t>
            </w:r>
          </w:p>
          <w:p w14:paraId="11B7B381" w14:textId="0EBA92B9" w:rsidR="0010360E" w:rsidRPr="003E397C" w:rsidRDefault="0010360E" w:rsidP="003E397C">
            <w:pPr>
              <w:pStyle w:val="ListParagraph"/>
              <w:numPr>
                <w:ilvl w:val="0"/>
                <w:numId w:val="27"/>
              </w:numPr>
              <w:spacing w:after="60"/>
              <w:rPr>
                <w:rFonts w:eastAsia="Calibri" w:cs="Calibri"/>
                <w:color w:val="000000"/>
                <w:lang w:eastAsia="en-AU"/>
              </w:rPr>
            </w:pPr>
            <w:r>
              <w:t xml:space="preserve">Understanding of, and </w:t>
            </w:r>
            <w:r w:rsidRPr="00D230FE">
              <w:t>commit</w:t>
            </w:r>
            <w:r>
              <w:t>ment to, delivery of health information based on evidence based practice</w:t>
            </w:r>
          </w:p>
          <w:p w14:paraId="5CA7430D" w14:textId="6C98B58A" w:rsidR="00C760C2" w:rsidRPr="000E6C47" w:rsidRDefault="003C48A2" w:rsidP="0010360E">
            <w:pPr>
              <w:pStyle w:val="Default"/>
              <w:numPr>
                <w:ilvl w:val="0"/>
                <w:numId w:val="27"/>
              </w:numPr>
              <w:spacing w:after="15"/>
              <w:rPr>
                <w:rFonts w:asciiTheme="minorHAnsi" w:hAnsiTheme="minorHAnsi"/>
                <w:color w:val="auto"/>
                <w:sz w:val="22"/>
                <w:szCs w:val="22"/>
              </w:rPr>
            </w:pPr>
            <w:r>
              <w:rPr>
                <w:rFonts w:asciiTheme="minorHAnsi" w:hAnsiTheme="minorHAnsi"/>
                <w:color w:val="auto"/>
                <w:sz w:val="22"/>
                <w:szCs w:val="22"/>
              </w:rPr>
              <w:t>H</w:t>
            </w:r>
            <w:r w:rsidR="00C760C2">
              <w:rPr>
                <w:rFonts w:asciiTheme="minorHAnsi" w:hAnsiTheme="minorHAnsi"/>
                <w:color w:val="auto"/>
                <w:sz w:val="22"/>
                <w:szCs w:val="22"/>
              </w:rPr>
              <w:t xml:space="preserve">ighly </w:t>
            </w:r>
            <w:r w:rsidR="00C760C2" w:rsidRPr="000E6C47">
              <w:rPr>
                <w:rFonts w:asciiTheme="minorHAnsi" w:hAnsiTheme="minorHAnsi"/>
                <w:color w:val="auto"/>
                <w:sz w:val="22"/>
                <w:szCs w:val="22"/>
              </w:rPr>
              <w:t>effective organisational, time and budget management skills</w:t>
            </w:r>
          </w:p>
          <w:p w14:paraId="4FEC3D1C" w14:textId="0B9EC1E5" w:rsidR="0010360E" w:rsidRPr="003E397C" w:rsidRDefault="0010360E" w:rsidP="003E397C">
            <w:pPr>
              <w:numPr>
                <w:ilvl w:val="0"/>
                <w:numId w:val="27"/>
              </w:numPr>
              <w:rPr>
                <w:rFonts w:cs="Tahoma"/>
                <w:color w:val="000000"/>
              </w:rPr>
            </w:pPr>
            <w:r w:rsidRPr="0010360E">
              <w:t>Effective consultation, negotiation and influencing skills</w:t>
            </w:r>
          </w:p>
          <w:p w14:paraId="7039E980" w14:textId="27893262" w:rsidR="0010360E" w:rsidRPr="003E397C" w:rsidRDefault="0010360E" w:rsidP="003E397C">
            <w:pPr>
              <w:numPr>
                <w:ilvl w:val="0"/>
                <w:numId w:val="27"/>
              </w:numPr>
              <w:rPr>
                <w:rFonts w:cs="Tahoma"/>
                <w:color w:val="000000"/>
              </w:rPr>
            </w:pPr>
            <w:r w:rsidRPr="000E6C47">
              <w:rPr>
                <w:rFonts w:cs="Tahoma"/>
                <w:color w:val="000000"/>
              </w:rPr>
              <w:t>Intermediate to high level computer skills and use of a</w:t>
            </w:r>
            <w:r>
              <w:rPr>
                <w:rFonts w:cs="Tahoma"/>
                <w:color w:val="000000"/>
              </w:rPr>
              <w:t xml:space="preserve"> range of software</w:t>
            </w:r>
          </w:p>
        </w:tc>
      </w:tr>
    </w:tbl>
    <w:p w14:paraId="46356BC2" w14:textId="77777777" w:rsidR="00C760C2" w:rsidRPr="003C48A2" w:rsidRDefault="00C760C2" w:rsidP="003C48A2">
      <w:pPr>
        <w:spacing w:before="360" w:after="120"/>
        <w:rPr>
          <w:b/>
          <w:sz w:val="24"/>
        </w:rPr>
      </w:pPr>
      <w:r w:rsidRPr="003C48A2">
        <w:rPr>
          <w:b/>
          <w:sz w:val="24"/>
        </w:rPr>
        <w:t>PERSONAL ATTRIBUTES</w:t>
      </w:r>
    </w:p>
    <w:tbl>
      <w:tblPr>
        <w:tblStyle w:val="TableGrid"/>
        <w:tblW w:w="0" w:type="auto"/>
        <w:tblLook w:val="04A0" w:firstRow="1" w:lastRow="0" w:firstColumn="1" w:lastColumn="0" w:noHBand="0" w:noVBand="1"/>
      </w:tblPr>
      <w:tblGrid>
        <w:gridCol w:w="9016"/>
      </w:tblGrid>
      <w:tr w:rsidR="00C760C2" w:rsidRPr="00D230FE" w14:paraId="7599D12F" w14:textId="77777777" w:rsidTr="007A0255">
        <w:tc>
          <w:tcPr>
            <w:tcW w:w="9016" w:type="dxa"/>
          </w:tcPr>
          <w:p w14:paraId="0A73C0C1" w14:textId="77777777" w:rsidR="00C760C2" w:rsidRPr="00D230FE" w:rsidRDefault="00C760C2" w:rsidP="007A0255">
            <w:pPr>
              <w:pStyle w:val="Default"/>
              <w:numPr>
                <w:ilvl w:val="0"/>
                <w:numId w:val="29"/>
              </w:numPr>
              <w:spacing w:after="13"/>
              <w:ind w:left="357" w:hanging="357"/>
              <w:rPr>
                <w:rFonts w:asciiTheme="minorHAnsi" w:hAnsiTheme="minorHAnsi"/>
                <w:color w:val="auto"/>
                <w:sz w:val="22"/>
                <w:szCs w:val="22"/>
              </w:rPr>
            </w:pPr>
            <w:r w:rsidRPr="00D230FE">
              <w:rPr>
                <w:rFonts w:asciiTheme="minorHAnsi" w:hAnsiTheme="minorHAnsi"/>
                <w:color w:val="auto"/>
                <w:sz w:val="22"/>
                <w:szCs w:val="22"/>
              </w:rPr>
              <w:t xml:space="preserve">Ability to work effectively both within a team and autonomously, and foster a positive team environment </w:t>
            </w:r>
          </w:p>
          <w:p w14:paraId="15B66656" w14:textId="77777777" w:rsidR="00C760C2" w:rsidRPr="00D230FE" w:rsidRDefault="00C760C2" w:rsidP="007A0255">
            <w:pPr>
              <w:pStyle w:val="Default"/>
              <w:numPr>
                <w:ilvl w:val="0"/>
                <w:numId w:val="29"/>
              </w:numPr>
              <w:spacing w:after="15"/>
              <w:ind w:left="357" w:hanging="357"/>
              <w:rPr>
                <w:rFonts w:asciiTheme="minorHAnsi" w:hAnsiTheme="minorHAnsi"/>
                <w:color w:val="auto"/>
                <w:sz w:val="22"/>
                <w:szCs w:val="22"/>
              </w:rPr>
            </w:pPr>
            <w:r w:rsidRPr="00D230FE">
              <w:rPr>
                <w:rFonts w:asciiTheme="minorHAnsi" w:hAnsiTheme="minorHAnsi"/>
                <w:color w:val="auto"/>
                <w:sz w:val="22"/>
                <w:szCs w:val="22"/>
              </w:rPr>
              <w:t>Flexibility and adaptability to changing work environments</w:t>
            </w:r>
          </w:p>
          <w:p w14:paraId="1180A9E4" w14:textId="77777777" w:rsidR="00C760C2" w:rsidRPr="00D230FE" w:rsidRDefault="00C760C2" w:rsidP="007A0255">
            <w:pPr>
              <w:pStyle w:val="Default"/>
              <w:numPr>
                <w:ilvl w:val="0"/>
                <w:numId w:val="29"/>
              </w:numPr>
              <w:spacing w:after="13"/>
              <w:ind w:left="357" w:hanging="357"/>
              <w:rPr>
                <w:rFonts w:asciiTheme="minorHAnsi" w:hAnsiTheme="minorHAnsi"/>
                <w:color w:val="auto"/>
                <w:sz w:val="22"/>
                <w:szCs w:val="22"/>
              </w:rPr>
            </w:pPr>
            <w:r w:rsidRPr="00D230FE">
              <w:rPr>
                <w:rFonts w:asciiTheme="minorHAnsi" w:hAnsiTheme="minorHAnsi"/>
                <w:color w:val="auto"/>
                <w:sz w:val="22"/>
                <w:szCs w:val="22"/>
              </w:rPr>
              <w:t xml:space="preserve">Drive, friendly nature with enthusiastic can-do attitude </w:t>
            </w:r>
          </w:p>
          <w:p w14:paraId="43B443CC" w14:textId="13E0C734" w:rsidR="00C760C2" w:rsidRPr="00D230FE" w:rsidRDefault="00C760C2" w:rsidP="007A0255">
            <w:pPr>
              <w:pStyle w:val="Default"/>
              <w:numPr>
                <w:ilvl w:val="0"/>
                <w:numId w:val="29"/>
              </w:numPr>
              <w:ind w:left="357" w:hanging="357"/>
              <w:rPr>
                <w:rFonts w:asciiTheme="minorHAnsi" w:hAnsiTheme="minorHAnsi"/>
                <w:color w:val="auto"/>
                <w:sz w:val="22"/>
                <w:szCs w:val="22"/>
              </w:rPr>
            </w:pPr>
            <w:r w:rsidRPr="00D230FE">
              <w:rPr>
                <w:rFonts w:asciiTheme="minorHAnsi" w:hAnsiTheme="minorHAnsi"/>
                <w:color w:val="auto"/>
                <w:sz w:val="22"/>
                <w:szCs w:val="22"/>
              </w:rPr>
              <w:t>Values compatible with</w:t>
            </w:r>
            <w:r w:rsidR="00F965C4">
              <w:rPr>
                <w:rFonts w:asciiTheme="minorHAnsi" w:hAnsiTheme="minorHAnsi"/>
                <w:color w:val="auto"/>
                <w:sz w:val="22"/>
                <w:szCs w:val="22"/>
              </w:rPr>
              <w:t xml:space="preserve"> the </w:t>
            </w:r>
            <w:r>
              <w:rPr>
                <w:rFonts w:asciiTheme="minorHAnsi" w:hAnsiTheme="minorHAnsi"/>
                <w:color w:val="auto"/>
                <w:sz w:val="22"/>
                <w:szCs w:val="22"/>
              </w:rPr>
              <w:t>Kidney Health Australia</w:t>
            </w:r>
            <w:r w:rsidRPr="00D230FE">
              <w:rPr>
                <w:rFonts w:asciiTheme="minorHAnsi" w:hAnsiTheme="minorHAnsi"/>
                <w:color w:val="auto"/>
                <w:sz w:val="22"/>
                <w:szCs w:val="22"/>
              </w:rPr>
              <w:t xml:space="preserve"> culture </w:t>
            </w:r>
            <w:r w:rsidR="00F965C4">
              <w:rPr>
                <w:rFonts w:asciiTheme="minorHAnsi" w:hAnsiTheme="minorHAnsi"/>
                <w:color w:val="auto"/>
                <w:sz w:val="22"/>
                <w:szCs w:val="22"/>
              </w:rPr>
              <w:t>encompassing collaboration, empathy, inspiration and ambition</w:t>
            </w:r>
          </w:p>
        </w:tc>
      </w:tr>
    </w:tbl>
    <w:p w14:paraId="28FADD61" w14:textId="77777777" w:rsidR="00C760C2" w:rsidRPr="00D230FE" w:rsidRDefault="00C760C2" w:rsidP="00C760C2"/>
    <w:p w14:paraId="3B0B9BE5" w14:textId="77777777" w:rsidR="00C760C2" w:rsidRPr="00D230FE" w:rsidRDefault="00C760C2" w:rsidP="00C760C2"/>
    <w:p w14:paraId="476868DF" w14:textId="77777777" w:rsidR="00C760C2" w:rsidRPr="00D230FE" w:rsidRDefault="00C760C2" w:rsidP="00C760C2"/>
    <w:p w14:paraId="0B8C1432" w14:textId="6357B46F" w:rsidR="00C760C2" w:rsidRDefault="00C760C2" w:rsidP="00C760C2">
      <w:pPr>
        <w:spacing w:after="160" w:line="259" w:lineRule="auto"/>
        <w:rPr>
          <w:b/>
        </w:rPr>
      </w:pPr>
    </w:p>
    <w:sectPr w:rsidR="00C760C2">
      <w:headerReference w:type="default" r:id="rId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3D7C7" w16cid:durableId="2155BB93"/>
  <w16cid:commentId w16cid:paraId="724AD6C8" w16cid:durableId="2155BD92"/>
  <w16cid:commentId w16cid:paraId="1F32744C" w16cid:durableId="2155BB6D"/>
  <w16cid:commentId w16cid:paraId="0E83E5C6" w16cid:durableId="2155BD40"/>
  <w16cid:commentId w16cid:paraId="005862E7" w16cid:durableId="2155BC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742F" w14:textId="77777777" w:rsidR="00920433" w:rsidRDefault="00920433" w:rsidP="009C4B4C">
      <w:r>
        <w:separator/>
      </w:r>
    </w:p>
  </w:endnote>
  <w:endnote w:type="continuationSeparator" w:id="0">
    <w:p w14:paraId="2F67291D" w14:textId="77777777" w:rsidR="00920433" w:rsidRDefault="00920433" w:rsidP="009C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noLetter Roman">
    <w:altName w:val="Times New Roman"/>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AdelleSans-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elle Sans Bold">
    <w:altName w:val="Cambria Math"/>
    <w:panose1 w:val="02000503000000020004"/>
    <w:charset w:val="00"/>
    <w:family w:val="auto"/>
    <w:pitch w:val="variable"/>
    <w:sig w:usb0="80000087" w:usb1="0000004B" w:usb2="00000000" w:usb3="00000000" w:csb0="00000083" w:csb1="00000000"/>
  </w:font>
  <w:font w:name="Adelle Sans Light">
    <w:altName w:val="Cambria Math"/>
    <w:panose1 w:val="02000503000000020004"/>
    <w:charset w:val="00"/>
    <w:family w:val="auto"/>
    <w:pitch w:val="variable"/>
    <w:sig w:usb0="80000087" w:usb1="00000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14BD" w14:textId="1C0E0198" w:rsidR="009C4B4C" w:rsidRPr="009C4B4C" w:rsidRDefault="002F0B91" w:rsidP="009C4B4C">
    <w:pPr>
      <w:pStyle w:val="Footer"/>
      <w:pBdr>
        <w:top w:val="single" w:sz="4" w:space="1" w:color="auto"/>
      </w:pBdr>
      <w:rPr>
        <w:sz w:val="20"/>
        <w:szCs w:val="20"/>
      </w:rPr>
    </w:pPr>
    <w:r>
      <w:rPr>
        <w:sz w:val="20"/>
        <w:szCs w:val="20"/>
      </w:rPr>
      <w:t>K</w:t>
    </w:r>
    <w:r w:rsidR="001B3455">
      <w:rPr>
        <w:sz w:val="20"/>
        <w:szCs w:val="20"/>
      </w:rPr>
      <w:t>idney Health Australia</w:t>
    </w:r>
    <w:r w:rsidR="003C48A2">
      <w:rPr>
        <w:sz w:val="20"/>
        <w:szCs w:val="20"/>
      </w:rPr>
      <w:t xml:space="preserve"> P</w:t>
    </w:r>
    <w:r w:rsidR="000E6C47">
      <w:rPr>
        <w:sz w:val="20"/>
        <w:szCs w:val="20"/>
      </w:rPr>
      <w:t xml:space="preserve">osition </w:t>
    </w:r>
    <w:r w:rsidR="003C48A2">
      <w:rPr>
        <w:sz w:val="20"/>
        <w:szCs w:val="20"/>
      </w:rPr>
      <w:t>D</w:t>
    </w:r>
    <w:r w:rsidR="000E6C47">
      <w:rPr>
        <w:sz w:val="20"/>
        <w:szCs w:val="20"/>
      </w:rPr>
      <w:t xml:space="preserve">escription/ </w:t>
    </w:r>
    <w:r w:rsidR="001732A3">
      <w:rPr>
        <w:sz w:val="20"/>
        <w:szCs w:val="20"/>
      </w:rPr>
      <w:t xml:space="preserve">Kidney </w:t>
    </w:r>
    <w:r w:rsidR="003C48A2">
      <w:rPr>
        <w:sz w:val="20"/>
        <w:szCs w:val="20"/>
      </w:rPr>
      <w:t>Helpline</w:t>
    </w:r>
    <w:r w:rsidR="001B3455">
      <w:rPr>
        <w:sz w:val="20"/>
        <w:szCs w:val="20"/>
      </w:rPr>
      <w:t xml:space="preserve"> </w:t>
    </w:r>
    <w:r w:rsidR="00E62AB2">
      <w:rPr>
        <w:sz w:val="20"/>
        <w:szCs w:val="20"/>
      </w:rPr>
      <w:t>Manager</w:t>
    </w:r>
    <w:r w:rsidR="001B3455">
      <w:rPr>
        <w:sz w:val="20"/>
        <w:szCs w:val="20"/>
      </w:rPr>
      <w:t xml:space="preserve"> </w:t>
    </w:r>
    <w:r w:rsidR="001B3455">
      <w:rPr>
        <w:sz w:val="20"/>
        <w:szCs w:val="20"/>
      </w:rPr>
      <w:tab/>
    </w:r>
    <w:r w:rsidR="009C4B4C" w:rsidRPr="009C4B4C">
      <w:rPr>
        <w:sz w:val="20"/>
        <w:szCs w:val="20"/>
      </w:rPr>
      <w:t>Date Approved:</w:t>
    </w:r>
    <w:r w:rsidR="000E6C47">
      <w:rPr>
        <w:sz w:val="20"/>
        <w:szCs w:val="20"/>
      </w:rPr>
      <w:t xml:space="preserve"> </w:t>
    </w:r>
    <w:r w:rsidR="00E62AB2">
      <w:rPr>
        <w:sz w:val="20"/>
        <w:szCs w:val="20"/>
      </w:rPr>
      <w:t>19 December</w:t>
    </w:r>
    <w:r w:rsidR="001B3455">
      <w:rPr>
        <w:sz w:val="20"/>
        <w:szCs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E478" w14:textId="77777777" w:rsidR="00920433" w:rsidRDefault="00920433" w:rsidP="009C4B4C">
      <w:r>
        <w:separator/>
      </w:r>
    </w:p>
  </w:footnote>
  <w:footnote w:type="continuationSeparator" w:id="0">
    <w:p w14:paraId="3DD7F817" w14:textId="77777777" w:rsidR="00920433" w:rsidRDefault="00920433" w:rsidP="009C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04BD" w14:textId="77777777" w:rsidR="002F0B91" w:rsidRPr="00F82A36" w:rsidRDefault="002F0B91" w:rsidP="007A7008">
    <w:pPr>
      <w:pStyle w:val="Header"/>
      <w:jc w:val="right"/>
      <w:rPr>
        <w:rFonts w:ascii="Adelle Sans Bold" w:hAnsi="Adelle Sans Bold"/>
        <w:sz w:val="20"/>
        <w:szCs w:val="20"/>
      </w:rPr>
    </w:pPr>
    <w:r>
      <w:rPr>
        <w:rFonts w:ascii="Adelle Sans Bold" w:hAnsi="Adelle Sans Bold"/>
        <w:noProof/>
        <w:sz w:val="20"/>
        <w:szCs w:val="20"/>
        <w:lang w:eastAsia="en-AU"/>
      </w:rPr>
      <w:drawing>
        <wp:anchor distT="0" distB="0" distL="114300" distR="114300" simplePos="0" relativeHeight="251659264" behindDoc="0" locked="0" layoutInCell="1" allowOverlap="1" wp14:anchorId="09DEC6D7" wp14:editId="427EE99E">
          <wp:simplePos x="0" y="0"/>
          <wp:positionH relativeFrom="column">
            <wp:posOffset>0</wp:posOffset>
          </wp:positionH>
          <wp:positionV relativeFrom="paragraph">
            <wp:posOffset>6985</wp:posOffset>
          </wp:positionV>
          <wp:extent cx="1800000" cy="660862"/>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HA_R_Stacked_CMYK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60862"/>
                  </a:xfrm>
                  <a:prstGeom prst="rect">
                    <a:avLst/>
                  </a:prstGeom>
                </pic:spPr>
              </pic:pic>
            </a:graphicData>
          </a:graphic>
          <wp14:sizeRelH relativeFrom="margin">
            <wp14:pctWidth>0</wp14:pctWidth>
          </wp14:sizeRelH>
          <wp14:sizeRelV relativeFrom="margin">
            <wp14:pctHeight>0</wp14:pctHeight>
          </wp14:sizeRelV>
        </wp:anchor>
      </w:drawing>
    </w:r>
    <w:r w:rsidRPr="00F82A36">
      <w:rPr>
        <w:rFonts w:ascii="Adelle Sans Bold" w:hAnsi="Adelle Sans Bold"/>
        <w:sz w:val="20"/>
        <w:szCs w:val="20"/>
      </w:rPr>
      <w:t>Connect with us:</w:t>
    </w:r>
  </w:p>
  <w:p w14:paraId="7E58AECF" w14:textId="77777777" w:rsidR="002F0B91" w:rsidRPr="00F82A36" w:rsidRDefault="002F0B91" w:rsidP="007A7008">
    <w:pPr>
      <w:pStyle w:val="Header"/>
      <w:spacing w:line="240" w:lineRule="exact"/>
      <w:jc w:val="right"/>
      <w:rPr>
        <w:rFonts w:ascii="Adelle Sans Light" w:hAnsi="Adelle Sans Light"/>
        <w:sz w:val="20"/>
        <w:szCs w:val="20"/>
      </w:rPr>
    </w:pPr>
    <w:r w:rsidRPr="00F82A36">
      <w:rPr>
        <w:rFonts w:ascii="Adelle Sans Light" w:hAnsi="Adelle Sans Light"/>
        <w:sz w:val="20"/>
        <w:szCs w:val="20"/>
      </w:rPr>
      <w:t>Freecall 1800 454 363</w:t>
    </w:r>
  </w:p>
  <w:p w14:paraId="2B372779" w14:textId="77777777" w:rsidR="002F0B91" w:rsidRDefault="002F0B91" w:rsidP="007A7008">
    <w:pPr>
      <w:pStyle w:val="Header"/>
      <w:spacing w:line="240" w:lineRule="exact"/>
      <w:jc w:val="right"/>
      <w:rPr>
        <w:rFonts w:ascii="Adelle Sans Light" w:hAnsi="Adelle Sans Light"/>
        <w:sz w:val="20"/>
        <w:szCs w:val="20"/>
      </w:rPr>
    </w:pPr>
    <w:r w:rsidRPr="00F82A36">
      <w:rPr>
        <w:rFonts w:ascii="Adelle Sans Light" w:hAnsi="Adelle Sans Light"/>
        <w:sz w:val="20"/>
        <w:szCs w:val="20"/>
      </w:rPr>
      <w:t>www.kidney.org.au</w:t>
    </w:r>
  </w:p>
  <w:p w14:paraId="7DF21290" w14:textId="77777777" w:rsidR="002F0B91" w:rsidRDefault="002F0B91" w:rsidP="007A7008">
    <w:pPr>
      <w:pStyle w:val="Header"/>
      <w:jc w:val="right"/>
    </w:pPr>
    <w:r>
      <w:rPr>
        <w:noProof/>
        <w:sz w:val="20"/>
        <w:szCs w:val="20"/>
        <w:lang w:eastAsia="en-AU"/>
      </w:rPr>
      <w:drawing>
        <wp:inline distT="0" distB="0" distL="0" distR="0" wp14:anchorId="19D51F21" wp14:editId="2017E877">
          <wp:extent cx="792480" cy="17653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_Icons_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480" cy="176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4ABF14B3" w14:textId="77777777" w:rsidR="002F0B91" w:rsidRDefault="002F0B91" w:rsidP="007A7008">
    <w:pPr>
      <w:pStyle w:val="Header"/>
      <w:pBdr>
        <w:bottom w:val="single" w:sz="4" w:space="1" w:color="auto"/>
      </w:pBdr>
    </w:pPr>
  </w:p>
  <w:p w14:paraId="1F89F092" w14:textId="77777777" w:rsidR="002F0B91" w:rsidRPr="007A7008" w:rsidRDefault="002F0B91" w:rsidP="007A7008">
    <w:pPr>
      <w:pStyle w:val="Header"/>
    </w:pPr>
  </w:p>
  <w:p w14:paraId="40BE3C1C" w14:textId="77777777" w:rsidR="002F0B91" w:rsidRDefault="002F0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8CF"/>
    <w:multiLevelType w:val="hybridMultilevel"/>
    <w:tmpl w:val="AE160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83DF5"/>
    <w:multiLevelType w:val="hybridMultilevel"/>
    <w:tmpl w:val="F204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20671"/>
    <w:multiLevelType w:val="hybridMultilevel"/>
    <w:tmpl w:val="7842E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5F27E3"/>
    <w:multiLevelType w:val="hybridMultilevel"/>
    <w:tmpl w:val="C8EED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82344C7"/>
    <w:multiLevelType w:val="hybridMultilevel"/>
    <w:tmpl w:val="A872C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24D20"/>
    <w:multiLevelType w:val="hybridMultilevel"/>
    <w:tmpl w:val="095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6239F"/>
    <w:multiLevelType w:val="hybridMultilevel"/>
    <w:tmpl w:val="A1E09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DB0111"/>
    <w:multiLevelType w:val="hybridMultilevel"/>
    <w:tmpl w:val="64081548"/>
    <w:lvl w:ilvl="0" w:tplc="A6ACA618">
      <w:start w:val="1"/>
      <w:numFmt w:val="decimal"/>
      <w:lvlText w:val="%1."/>
      <w:lvlJc w:val="left"/>
      <w:pPr>
        <w:tabs>
          <w:tab w:val="num" w:pos="717"/>
        </w:tabs>
        <w:ind w:left="714" w:hanging="35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E07D4"/>
    <w:multiLevelType w:val="hybridMultilevel"/>
    <w:tmpl w:val="F4C6027C"/>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4E4271D"/>
    <w:multiLevelType w:val="hybridMultilevel"/>
    <w:tmpl w:val="56A09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A303CD"/>
    <w:multiLevelType w:val="hybridMultilevel"/>
    <w:tmpl w:val="FC284002"/>
    <w:lvl w:ilvl="0" w:tplc="00010409">
      <w:start w:val="1"/>
      <w:numFmt w:val="bullet"/>
      <w:lvlText w:val=""/>
      <w:lvlJc w:val="left"/>
      <w:pPr>
        <w:tabs>
          <w:tab w:val="num" w:pos="360"/>
        </w:tabs>
        <w:ind w:left="360" w:hanging="360"/>
      </w:pPr>
      <w:rPr>
        <w:rFonts w:ascii="Symbol" w:hAnsi="Symbol" w:hint="default"/>
      </w:rPr>
    </w:lvl>
    <w:lvl w:ilvl="1" w:tplc="3982C078">
      <w:start w:val="1"/>
      <w:numFmt w:val="bullet"/>
      <w:pStyle w:val="Style3"/>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45CC2"/>
    <w:multiLevelType w:val="hybridMultilevel"/>
    <w:tmpl w:val="B462A502"/>
    <w:lvl w:ilvl="0" w:tplc="A4BE7C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F33DD"/>
    <w:multiLevelType w:val="hybridMultilevel"/>
    <w:tmpl w:val="E1B69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0E7EF9"/>
    <w:multiLevelType w:val="hybridMultilevel"/>
    <w:tmpl w:val="F16EC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342C56"/>
    <w:multiLevelType w:val="hybridMultilevel"/>
    <w:tmpl w:val="49F253BE"/>
    <w:lvl w:ilvl="0" w:tplc="C7B4D77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12CF4"/>
    <w:multiLevelType w:val="hybridMultilevel"/>
    <w:tmpl w:val="2A6A7616"/>
    <w:lvl w:ilvl="0" w:tplc="53069FF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C5202D"/>
    <w:multiLevelType w:val="hybridMultilevel"/>
    <w:tmpl w:val="37E6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FA728B"/>
    <w:multiLevelType w:val="hybridMultilevel"/>
    <w:tmpl w:val="154C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837483"/>
    <w:multiLevelType w:val="hybridMultilevel"/>
    <w:tmpl w:val="1826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B5CD9"/>
    <w:multiLevelType w:val="hybridMultilevel"/>
    <w:tmpl w:val="2C26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DC5C83"/>
    <w:multiLevelType w:val="hybridMultilevel"/>
    <w:tmpl w:val="07F46502"/>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014903"/>
    <w:multiLevelType w:val="hybridMultilevel"/>
    <w:tmpl w:val="6BFC1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CE3D3F"/>
    <w:multiLevelType w:val="hybridMultilevel"/>
    <w:tmpl w:val="C2D87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65771E"/>
    <w:multiLevelType w:val="hybridMultilevel"/>
    <w:tmpl w:val="000E6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3B26F4C"/>
    <w:multiLevelType w:val="hybridMultilevel"/>
    <w:tmpl w:val="80CA3B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C6454EA">
      <w:start w:val="4"/>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5466FF2"/>
    <w:multiLevelType w:val="hybridMultilevel"/>
    <w:tmpl w:val="F3384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F35C21"/>
    <w:multiLevelType w:val="hybridMultilevel"/>
    <w:tmpl w:val="0896E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C426C1D"/>
    <w:multiLevelType w:val="hybridMultilevel"/>
    <w:tmpl w:val="A0F45630"/>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3F542B5F"/>
    <w:multiLevelType w:val="hybridMultilevel"/>
    <w:tmpl w:val="FB22E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6B6D4E"/>
    <w:multiLevelType w:val="hybridMultilevel"/>
    <w:tmpl w:val="21EA5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D52CD0"/>
    <w:multiLevelType w:val="hybridMultilevel"/>
    <w:tmpl w:val="FB965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B41EE"/>
    <w:multiLevelType w:val="hybridMultilevel"/>
    <w:tmpl w:val="0E86A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7B52C77"/>
    <w:multiLevelType w:val="hybridMultilevel"/>
    <w:tmpl w:val="18E0AEB0"/>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48A47586"/>
    <w:multiLevelType w:val="hybridMultilevel"/>
    <w:tmpl w:val="EA0A29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EB7B33"/>
    <w:multiLevelType w:val="hybridMultilevel"/>
    <w:tmpl w:val="2A381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480AD7"/>
    <w:multiLevelType w:val="hybridMultilevel"/>
    <w:tmpl w:val="1B98F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7A22B61"/>
    <w:multiLevelType w:val="hybridMultilevel"/>
    <w:tmpl w:val="D9E6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8288D"/>
    <w:multiLevelType w:val="hybridMultilevel"/>
    <w:tmpl w:val="D05AC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1108B2"/>
    <w:multiLevelType w:val="hybridMultilevel"/>
    <w:tmpl w:val="9F2E0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EC15B20"/>
    <w:multiLevelType w:val="hybridMultilevel"/>
    <w:tmpl w:val="4DC6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CD7922"/>
    <w:multiLevelType w:val="hybridMultilevel"/>
    <w:tmpl w:val="5FC0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251E89"/>
    <w:multiLevelType w:val="hybridMultilevel"/>
    <w:tmpl w:val="58508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2B4592D"/>
    <w:multiLevelType w:val="hybridMultilevel"/>
    <w:tmpl w:val="C8C8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F239CB"/>
    <w:multiLevelType w:val="hybridMultilevel"/>
    <w:tmpl w:val="DB46A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6CD1A5D"/>
    <w:multiLevelType w:val="hybridMultilevel"/>
    <w:tmpl w:val="3F7611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ABE5B81"/>
    <w:multiLevelType w:val="hybridMultilevel"/>
    <w:tmpl w:val="4AFC2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F3462B6"/>
    <w:multiLevelType w:val="hybridMultilevel"/>
    <w:tmpl w:val="77B0F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B20541"/>
    <w:multiLevelType w:val="hybridMultilevel"/>
    <w:tmpl w:val="88C80572"/>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15:restartNumberingAfterBreak="0">
    <w:nsid w:val="71CD1F7B"/>
    <w:multiLevelType w:val="hybridMultilevel"/>
    <w:tmpl w:val="F6723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CE10A5"/>
    <w:multiLevelType w:val="hybridMultilevel"/>
    <w:tmpl w:val="999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D5218C"/>
    <w:multiLevelType w:val="hybridMultilevel"/>
    <w:tmpl w:val="576C2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FE78BA"/>
    <w:multiLevelType w:val="hybridMultilevel"/>
    <w:tmpl w:val="75162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68732F"/>
    <w:multiLevelType w:val="hybridMultilevel"/>
    <w:tmpl w:val="4E08E3F4"/>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num w:numId="1">
    <w:abstractNumId w:val="37"/>
  </w:num>
  <w:num w:numId="2">
    <w:abstractNumId w:val="19"/>
  </w:num>
  <w:num w:numId="3">
    <w:abstractNumId w:val="25"/>
  </w:num>
  <w:num w:numId="4">
    <w:abstractNumId w:val="35"/>
  </w:num>
  <w:num w:numId="5">
    <w:abstractNumId w:val="41"/>
  </w:num>
  <w:num w:numId="6">
    <w:abstractNumId w:val="43"/>
  </w:num>
  <w:num w:numId="7">
    <w:abstractNumId w:val="39"/>
  </w:num>
  <w:num w:numId="8">
    <w:abstractNumId w:val="30"/>
  </w:num>
  <w:num w:numId="9">
    <w:abstractNumId w:val="10"/>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29"/>
  </w:num>
  <w:num w:numId="18">
    <w:abstractNumId w:val="45"/>
  </w:num>
  <w:num w:numId="19">
    <w:abstractNumId w:val="2"/>
  </w:num>
  <w:num w:numId="20">
    <w:abstractNumId w:val="21"/>
  </w:num>
  <w:num w:numId="21">
    <w:abstractNumId w:val="13"/>
  </w:num>
  <w:num w:numId="22">
    <w:abstractNumId w:val="28"/>
  </w:num>
  <w:num w:numId="23">
    <w:abstractNumId w:val="44"/>
  </w:num>
  <w:num w:numId="24">
    <w:abstractNumId w:val="9"/>
  </w:num>
  <w:num w:numId="25">
    <w:abstractNumId w:val="12"/>
  </w:num>
  <w:num w:numId="26">
    <w:abstractNumId w:val="5"/>
  </w:num>
  <w:num w:numId="27">
    <w:abstractNumId w:val="17"/>
  </w:num>
  <w:num w:numId="28">
    <w:abstractNumId w:val="48"/>
  </w:num>
  <w:num w:numId="29">
    <w:abstractNumId w:val="51"/>
  </w:num>
  <w:num w:numId="30">
    <w:abstractNumId w:val="32"/>
  </w:num>
  <w:num w:numId="31">
    <w:abstractNumId w:val="49"/>
  </w:num>
  <w:num w:numId="32">
    <w:abstractNumId w:val="52"/>
  </w:num>
  <w:num w:numId="33">
    <w:abstractNumId w:val="20"/>
  </w:num>
  <w:num w:numId="34">
    <w:abstractNumId w:val="24"/>
  </w:num>
  <w:num w:numId="35">
    <w:abstractNumId w:val="18"/>
  </w:num>
  <w:num w:numId="36">
    <w:abstractNumId w:val="11"/>
  </w:num>
  <w:num w:numId="37">
    <w:abstractNumId w:val="34"/>
  </w:num>
  <w:num w:numId="38">
    <w:abstractNumId w:val="0"/>
  </w:num>
  <w:num w:numId="39">
    <w:abstractNumId w:val="16"/>
  </w:num>
  <w:num w:numId="40">
    <w:abstractNumId w:val="22"/>
  </w:num>
  <w:num w:numId="41">
    <w:abstractNumId w:val="36"/>
  </w:num>
  <w:num w:numId="42">
    <w:abstractNumId w:val="15"/>
  </w:num>
  <w:num w:numId="43">
    <w:abstractNumId w:val="23"/>
  </w:num>
  <w:num w:numId="44">
    <w:abstractNumId w:val="42"/>
  </w:num>
  <w:num w:numId="45">
    <w:abstractNumId w:val="27"/>
  </w:num>
  <w:num w:numId="46">
    <w:abstractNumId w:val="47"/>
  </w:num>
  <w:num w:numId="47">
    <w:abstractNumId w:val="8"/>
  </w:num>
  <w:num w:numId="48">
    <w:abstractNumId w:val="40"/>
  </w:num>
  <w:num w:numId="49">
    <w:abstractNumId w:val="14"/>
  </w:num>
  <w:num w:numId="50">
    <w:abstractNumId w:val="7"/>
  </w:num>
  <w:num w:numId="51">
    <w:abstractNumId w:val="1"/>
  </w:num>
  <w:num w:numId="52">
    <w:abstractNumId w:val="31"/>
  </w:num>
  <w:num w:numId="53">
    <w:abstractNumId w:val="50"/>
  </w:num>
  <w:num w:numId="54">
    <w:abstractNumId w:val="46"/>
  </w:num>
  <w:num w:numId="55">
    <w:abstractNumId w:val="33"/>
  </w:num>
  <w:num w:numId="56">
    <w:abstractNumId w:val="38"/>
  </w:num>
  <w:num w:numId="57">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3F"/>
    <w:rsid w:val="00026F9B"/>
    <w:rsid w:val="00042566"/>
    <w:rsid w:val="0004629B"/>
    <w:rsid w:val="000526A4"/>
    <w:rsid w:val="00052E6E"/>
    <w:rsid w:val="000563D9"/>
    <w:rsid w:val="00067A95"/>
    <w:rsid w:val="000753E6"/>
    <w:rsid w:val="000A5FC6"/>
    <w:rsid w:val="000B0BFF"/>
    <w:rsid w:val="000D25F0"/>
    <w:rsid w:val="000E08E2"/>
    <w:rsid w:val="000E6C47"/>
    <w:rsid w:val="000F2459"/>
    <w:rsid w:val="0010360E"/>
    <w:rsid w:val="00106E2C"/>
    <w:rsid w:val="001732A3"/>
    <w:rsid w:val="001B3455"/>
    <w:rsid w:val="001C73A7"/>
    <w:rsid w:val="001C7682"/>
    <w:rsid w:val="001F2AC7"/>
    <w:rsid w:val="002014FD"/>
    <w:rsid w:val="002127E1"/>
    <w:rsid w:val="00212BDE"/>
    <w:rsid w:val="00214C95"/>
    <w:rsid w:val="002457A4"/>
    <w:rsid w:val="002602EC"/>
    <w:rsid w:val="00260355"/>
    <w:rsid w:val="002B2A3D"/>
    <w:rsid w:val="002F0B91"/>
    <w:rsid w:val="002F5CCA"/>
    <w:rsid w:val="00355C40"/>
    <w:rsid w:val="003571C0"/>
    <w:rsid w:val="00357406"/>
    <w:rsid w:val="00363CE8"/>
    <w:rsid w:val="00380917"/>
    <w:rsid w:val="003900FA"/>
    <w:rsid w:val="00390EE0"/>
    <w:rsid w:val="0039310F"/>
    <w:rsid w:val="003966C0"/>
    <w:rsid w:val="003C08E0"/>
    <w:rsid w:val="003C48A2"/>
    <w:rsid w:val="003E397C"/>
    <w:rsid w:val="003E7EBD"/>
    <w:rsid w:val="00401F68"/>
    <w:rsid w:val="00420F38"/>
    <w:rsid w:val="00422F34"/>
    <w:rsid w:val="004466AF"/>
    <w:rsid w:val="00473427"/>
    <w:rsid w:val="004B07F6"/>
    <w:rsid w:val="004B3480"/>
    <w:rsid w:val="004D0E52"/>
    <w:rsid w:val="00504E25"/>
    <w:rsid w:val="00522129"/>
    <w:rsid w:val="005324F6"/>
    <w:rsid w:val="00553ABD"/>
    <w:rsid w:val="005667D9"/>
    <w:rsid w:val="0057459E"/>
    <w:rsid w:val="00592F9A"/>
    <w:rsid w:val="005C40C7"/>
    <w:rsid w:val="005D18FE"/>
    <w:rsid w:val="00602F1D"/>
    <w:rsid w:val="006125CE"/>
    <w:rsid w:val="00613485"/>
    <w:rsid w:val="0063141C"/>
    <w:rsid w:val="00666486"/>
    <w:rsid w:val="006936D2"/>
    <w:rsid w:val="0069697A"/>
    <w:rsid w:val="006C2C23"/>
    <w:rsid w:val="006D538A"/>
    <w:rsid w:val="006E10C5"/>
    <w:rsid w:val="00721DDC"/>
    <w:rsid w:val="00756CFA"/>
    <w:rsid w:val="00756D42"/>
    <w:rsid w:val="007643A9"/>
    <w:rsid w:val="00764923"/>
    <w:rsid w:val="007840C2"/>
    <w:rsid w:val="00792FA2"/>
    <w:rsid w:val="007C277F"/>
    <w:rsid w:val="007E427E"/>
    <w:rsid w:val="00825390"/>
    <w:rsid w:val="00831697"/>
    <w:rsid w:val="00854C97"/>
    <w:rsid w:val="0085644F"/>
    <w:rsid w:val="00887383"/>
    <w:rsid w:val="00895CF3"/>
    <w:rsid w:val="008A6A3F"/>
    <w:rsid w:val="008B4ED5"/>
    <w:rsid w:val="008B743E"/>
    <w:rsid w:val="008C2BA1"/>
    <w:rsid w:val="008E2B18"/>
    <w:rsid w:val="008F4E76"/>
    <w:rsid w:val="008F7382"/>
    <w:rsid w:val="00920433"/>
    <w:rsid w:val="0093041D"/>
    <w:rsid w:val="00941D60"/>
    <w:rsid w:val="00976648"/>
    <w:rsid w:val="00981D3D"/>
    <w:rsid w:val="009A40E3"/>
    <w:rsid w:val="009C4B4C"/>
    <w:rsid w:val="009D5CD4"/>
    <w:rsid w:val="009D5D53"/>
    <w:rsid w:val="009E20CF"/>
    <w:rsid w:val="009F2BBE"/>
    <w:rsid w:val="00A26757"/>
    <w:rsid w:val="00A26F7F"/>
    <w:rsid w:val="00A33F55"/>
    <w:rsid w:val="00A44650"/>
    <w:rsid w:val="00A81405"/>
    <w:rsid w:val="00AA11D6"/>
    <w:rsid w:val="00AB6AE0"/>
    <w:rsid w:val="00AD28CA"/>
    <w:rsid w:val="00AE7797"/>
    <w:rsid w:val="00AF5D5D"/>
    <w:rsid w:val="00B11E37"/>
    <w:rsid w:val="00B40636"/>
    <w:rsid w:val="00B5112A"/>
    <w:rsid w:val="00B570CD"/>
    <w:rsid w:val="00BA50E2"/>
    <w:rsid w:val="00BC540F"/>
    <w:rsid w:val="00BD21F2"/>
    <w:rsid w:val="00BD34BA"/>
    <w:rsid w:val="00BF24CC"/>
    <w:rsid w:val="00BF7384"/>
    <w:rsid w:val="00C011C1"/>
    <w:rsid w:val="00C05F1F"/>
    <w:rsid w:val="00C46973"/>
    <w:rsid w:val="00C53DEF"/>
    <w:rsid w:val="00C604B2"/>
    <w:rsid w:val="00C71651"/>
    <w:rsid w:val="00C75090"/>
    <w:rsid w:val="00C760C2"/>
    <w:rsid w:val="00C801DE"/>
    <w:rsid w:val="00C812C8"/>
    <w:rsid w:val="00CD35F5"/>
    <w:rsid w:val="00D34B67"/>
    <w:rsid w:val="00D640B7"/>
    <w:rsid w:val="00D70963"/>
    <w:rsid w:val="00DB511B"/>
    <w:rsid w:val="00DC133F"/>
    <w:rsid w:val="00DE2A2A"/>
    <w:rsid w:val="00DF4A0A"/>
    <w:rsid w:val="00E03533"/>
    <w:rsid w:val="00E62AB2"/>
    <w:rsid w:val="00E80DD3"/>
    <w:rsid w:val="00E90FC0"/>
    <w:rsid w:val="00E97070"/>
    <w:rsid w:val="00EA114C"/>
    <w:rsid w:val="00EA36A6"/>
    <w:rsid w:val="00EB06F8"/>
    <w:rsid w:val="00ED41CF"/>
    <w:rsid w:val="00F0170B"/>
    <w:rsid w:val="00F25510"/>
    <w:rsid w:val="00F531A1"/>
    <w:rsid w:val="00F64CDD"/>
    <w:rsid w:val="00F763CF"/>
    <w:rsid w:val="00F842C1"/>
    <w:rsid w:val="00F87A9A"/>
    <w:rsid w:val="00F965C4"/>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5C5F77"/>
  <w15:docId w15:val="{F9E0D3F8-B666-454D-BABE-78786F55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76"/>
    <w:pPr>
      <w:spacing w:after="0" w:line="240" w:lineRule="auto"/>
    </w:pPr>
  </w:style>
  <w:style w:type="paragraph" w:styleId="Heading1">
    <w:name w:val="heading 1"/>
    <w:basedOn w:val="Normal"/>
    <w:next w:val="Normal"/>
    <w:link w:val="Heading1Char"/>
    <w:uiPriority w:val="9"/>
    <w:qFormat/>
    <w:rsid w:val="008A6A3F"/>
    <w:pPr>
      <w:spacing w:after="120"/>
      <w:jc w:val="center"/>
      <w:outlineLvl w:val="0"/>
    </w:pPr>
    <w:rPr>
      <w:b/>
      <w:sz w:val="28"/>
      <w:szCs w:val="28"/>
    </w:rPr>
  </w:style>
  <w:style w:type="paragraph" w:styleId="Heading2">
    <w:name w:val="heading 2"/>
    <w:basedOn w:val="Normal"/>
    <w:next w:val="Normal"/>
    <w:link w:val="Heading2Char"/>
    <w:uiPriority w:val="9"/>
    <w:unhideWhenUsed/>
    <w:qFormat/>
    <w:rsid w:val="009C4B4C"/>
    <w:pPr>
      <w:spacing w:before="120" w:after="1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A3F"/>
    <w:rPr>
      <w:b/>
      <w:sz w:val="28"/>
      <w:szCs w:val="28"/>
    </w:rPr>
  </w:style>
  <w:style w:type="character" w:customStyle="1" w:styleId="Heading2Char">
    <w:name w:val="Heading 2 Char"/>
    <w:basedOn w:val="DefaultParagraphFont"/>
    <w:link w:val="Heading2"/>
    <w:uiPriority w:val="9"/>
    <w:rsid w:val="009C4B4C"/>
    <w:rPr>
      <w:b/>
      <w:sz w:val="24"/>
      <w:szCs w:val="24"/>
    </w:rPr>
  </w:style>
  <w:style w:type="table" w:styleId="TableGrid">
    <w:name w:val="Table Grid"/>
    <w:basedOn w:val="TableNormal"/>
    <w:uiPriority w:val="39"/>
    <w:rsid w:val="009C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B4C"/>
    <w:pPr>
      <w:ind w:left="720"/>
      <w:contextualSpacing/>
    </w:pPr>
  </w:style>
  <w:style w:type="paragraph" w:styleId="Header">
    <w:name w:val="header"/>
    <w:basedOn w:val="Normal"/>
    <w:link w:val="HeaderChar"/>
    <w:uiPriority w:val="99"/>
    <w:unhideWhenUsed/>
    <w:rsid w:val="009C4B4C"/>
    <w:pPr>
      <w:tabs>
        <w:tab w:val="center" w:pos="4513"/>
        <w:tab w:val="right" w:pos="9026"/>
      </w:tabs>
    </w:pPr>
  </w:style>
  <w:style w:type="character" w:customStyle="1" w:styleId="HeaderChar">
    <w:name w:val="Header Char"/>
    <w:basedOn w:val="DefaultParagraphFont"/>
    <w:link w:val="Header"/>
    <w:uiPriority w:val="99"/>
    <w:rsid w:val="009C4B4C"/>
  </w:style>
  <w:style w:type="paragraph" w:styleId="Footer">
    <w:name w:val="footer"/>
    <w:basedOn w:val="Normal"/>
    <w:link w:val="FooterChar"/>
    <w:uiPriority w:val="99"/>
    <w:unhideWhenUsed/>
    <w:rsid w:val="009C4B4C"/>
    <w:pPr>
      <w:tabs>
        <w:tab w:val="center" w:pos="4513"/>
        <w:tab w:val="right" w:pos="9026"/>
      </w:tabs>
    </w:pPr>
  </w:style>
  <w:style w:type="character" w:customStyle="1" w:styleId="FooterChar">
    <w:name w:val="Footer Char"/>
    <w:basedOn w:val="DefaultParagraphFont"/>
    <w:link w:val="Footer"/>
    <w:uiPriority w:val="99"/>
    <w:rsid w:val="009C4B4C"/>
  </w:style>
  <w:style w:type="paragraph" w:customStyle="1" w:styleId="Style3">
    <w:name w:val="Style3"/>
    <w:basedOn w:val="Normal"/>
    <w:rsid w:val="00106E2C"/>
    <w:pPr>
      <w:numPr>
        <w:ilvl w:val="1"/>
        <w:numId w:val="9"/>
      </w:numPr>
    </w:pPr>
    <w:rPr>
      <w:rFonts w:ascii="LinoLetter Roman" w:eastAsia="Times New Roman" w:hAnsi="LinoLetter Roman" w:cs="Times New Roman"/>
      <w:szCs w:val="24"/>
      <w:lang w:val="en-GB"/>
    </w:rPr>
  </w:style>
  <w:style w:type="character" w:styleId="CommentReference">
    <w:name w:val="annotation reference"/>
    <w:basedOn w:val="DefaultParagraphFont"/>
    <w:uiPriority w:val="99"/>
    <w:semiHidden/>
    <w:unhideWhenUsed/>
    <w:rsid w:val="009D5CD4"/>
    <w:rPr>
      <w:sz w:val="16"/>
      <w:szCs w:val="16"/>
    </w:rPr>
  </w:style>
  <w:style w:type="paragraph" w:styleId="CommentText">
    <w:name w:val="annotation text"/>
    <w:basedOn w:val="Normal"/>
    <w:link w:val="CommentTextChar"/>
    <w:uiPriority w:val="99"/>
    <w:semiHidden/>
    <w:unhideWhenUsed/>
    <w:rsid w:val="009D5CD4"/>
    <w:rPr>
      <w:sz w:val="20"/>
      <w:szCs w:val="20"/>
    </w:rPr>
  </w:style>
  <w:style w:type="character" w:customStyle="1" w:styleId="CommentTextChar">
    <w:name w:val="Comment Text Char"/>
    <w:basedOn w:val="DefaultParagraphFont"/>
    <w:link w:val="CommentText"/>
    <w:uiPriority w:val="99"/>
    <w:semiHidden/>
    <w:rsid w:val="009D5CD4"/>
    <w:rPr>
      <w:sz w:val="20"/>
      <w:szCs w:val="20"/>
    </w:rPr>
  </w:style>
  <w:style w:type="paragraph" w:styleId="CommentSubject">
    <w:name w:val="annotation subject"/>
    <w:basedOn w:val="CommentText"/>
    <w:next w:val="CommentText"/>
    <w:link w:val="CommentSubjectChar"/>
    <w:uiPriority w:val="99"/>
    <w:semiHidden/>
    <w:unhideWhenUsed/>
    <w:rsid w:val="009D5CD4"/>
    <w:rPr>
      <w:b/>
      <w:bCs/>
    </w:rPr>
  </w:style>
  <w:style w:type="character" w:customStyle="1" w:styleId="CommentSubjectChar">
    <w:name w:val="Comment Subject Char"/>
    <w:basedOn w:val="CommentTextChar"/>
    <w:link w:val="CommentSubject"/>
    <w:uiPriority w:val="99"/>
    <w:semiHidden/>
    <w:rsid w:val="009D5CD4"/>
    <w:rPr>
      <w:b/>
      <w:bCs/>
      <w:sz w:val="20"/>
      <w:szCs w:val="20"/>
    </w:rPr>
  </w:style>
  <w:style w:type="paragraph" w:styleId="BalloonText">
    <w:name w:val="Balloon Text"/>
    <w:basedOn w:val="Normal"/>
    <w:link w:val="BalloonTextChar"/>
    <w:uiPriority w:val="99"/>
    <w:semiHidden/>
    <w:unhideWhenUsed/>
    <w:rsid w:val="009D5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D4"/>
    <w:rPr>
      <w:rFonts w:ascii="Segoe UI" w:hAnsi="Segoe UI" w:cs="Segoe UI"/>
      <w:sz w:val="18"/>
      <w:szCs w:val="18"/>
    </w:rPr>
  </w:style>
  <w:style w:type="paragraph" w:customStyle="1" w:styleId="Default">
    <w:name w:val="Default"/>
    <w:rsid w:val="00721DDC"/>
    <w:pPr>
      <w:autoSpaceDE w:val="0"/>
      <w:autoSpaceDN w:val="0"/>
      <w:adjustRightInd w:val="0"/>
      <w:spacing w:after="0" w:line="240" w:lineRule="auto"/>
    </w:pPr>
    <w:rPr>
      <w:rFonts w:ascii="Calibri" w:hAnsi="Calibri" w:cs="Calibri"/>
      <w:color w:val="000000"/>
      <w:sz w:val="24"/>
      <w:szCs w:val="24"/>
    </w:rPr>
  </w:style>
  <w:style w:type="paragraph" w:customStyle="1" w:styleId="Tabletitle">
    <w:name w:val="Table title"/>
    <w:basedOn w:val="Normal"/>
    <w:rsid w:val="00420F38"/>
    <w:pPr>
      <w:pBdr>
        <w:top w:val="single" w:sz="12" w:space="1" w:color="auto"/>
      </w:pBdr>
      <w:spacing w:before="120" w:after="120" w:line="280" w:lineRule="atLeast"/>
    </w:pPr>
    <w:rPr>
      <w:rFonts w:ascii="Arial" w:eastAsia="Times New Roman" w:hAnsi="Arial" w:cs="Times New Roman"/>
      <w:b/>
      <w:sz w:val="20"/>
      <w:szCs w:val="20"/>
      <w:lang w:val="en-US"/>
    </w:rPr>
  </w:style>
  <w:style w:type="paragraph" w:customStyle="1" w:styleId="TIOBody1">
    <w:name w:val="TIO Body 1"/>
    <w:basedOn w:val="Normal"/>
    <w:link w:val="TIOBody1CharChar"/>
    <w:rsid w:val="00420F38"/>
    <w:pPr>
      <w:spacing w:before="120" w:after="120"/>
    </w:pPr>
    <w:rPr>
      <w:rFonts w:ascii="Arial" w:eastAsia="Times New Roman" w:hAnsi="Arial" w:cs="Times New Roman"/>
      <w:sz w:val="20"/>
      <w:szCs w:val="20"/>
      <w:lang w:val="x-none"/>
    </w:rPr>
  </w:style>
  <w:style w:type="character" w:customStyle="1" w:styleId="TIOBody1CharChar">
    <w:name w:val="TIO Body 1 Char Char"/>
    <w:link w:val="TIOBody1"/>
    <w:rsid w:val="00420F38"/>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Temp</dc:creator>
  <cp:keywords/>
  <dc:description/>
  <cp:lastModifiedBy>Daniel Ramos</cp:lastModifiedBy>
  <cp:revision>2</cp:revision>
  <cp:lastPrinted>2020-01-24T02:10:00Z</cp:lastPrinted>
  <dcterms:created xsi:type="dcterms:W3CDTF">2020-01-24T02:12:00Z</dcterms:created>
  <dcterms:modified xsi:type="dcterms:W3CDTF">2020-01-24T02:12:00Z</dcterms:modified>
</cp:coreProperties>
</file>