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534"/>
        <w:gridCol w:w="884"/>
        <w:gridCol w:w="7653"/>
      </w:tblGrid>
      <w:tr w:rsidR="00EA69C7" w:rsidRPr="00EA69C7" w:rsidTr="00D56727">
        <w:tc>
          <w:tcPr>
            <w:tcW w:w="1418" w:type="dxa"/>
            <w:gridSpan w:val="2"/>
            <w:shd w:val="clear" w:color="auto" w:fill="auto"/>
          </w:tcPr>
          <w:p w:rsidR="00EA69C7" w:rsidRPr="00EA69C7" w:rsidRDefault="00033A6A" w:rsidP="008B751D">
            <w:pPr>
              <w:spacing w:before="60" w:after="60"/>
              <w:rPr>
                <w:rFonts w:cs="Arial"/>
                <w:b/>
              </w:rPr>
            </w:pPr>
            <w:r>
              <w:rPr>
                <w:rFonts w:cs="Arial"/>
                <w:b/>
              </w:rPr>
              <w:t xml:space="preserve">Aim of </w:t>
            </w:r>
            <w:r w:rsidR="00EA69C7">
              <w:rPr>
                <w:rFonts w:cs="Arial"/>
                <w:b/>
              </w:rPr>
              <w:t xml:space="preserve"> Position</w:t>
            </w:r>
            <w:r w:rsidR="00EA69C7" w:rsidRPr="00EA69C7">
              <w:rPr>
                <w:rFonts w:cs="Arial"/>
                <w:b/>
              </w:rPr>
              <w:t>:</w:t>
            </w:r>
          </w:p>
        </w:tc>
        <w:tc>
          <w:tcPr>
            <w:tcW w:w="7653" w:type="dxa"/>
            <w:shd w:val="clear" w:color="auto" w:fill="auto"/>
          </w:tcPr>
          <w:p w:rsidR="00EA69C7" w:rsidRPr="00EA69C7" w:rsidRDefault="00EA69C7" w:rsidP="008B751D">
            <w:pPr>
              <w:spacing w:before="60" w:after="60"/>
              <w:rPr>
                <w:rFonts w:cs="Arial"/>
                <w:b/>
              </w:rPr>
            </w:pPr>
            <w:r w:rsidRPr="00EA69C7">
              <w:rPr>
                <w:rFonts w:cs="Arial"/>
                <w:b/>
              </w:rPr>
              <w:t>To provide high quality legal assistance to clients of the Tenants Victoria Legal Service (TVLS) clients and support the other work of Tenants Victoria.</w:t>
            </w:r>
          </w:p>
        </w:tc>
      </w:tr>
      <w:tr w:rsidR="00EA69C7" w:rsidRPr="00EA69C7" w:rsidTr="00D56727">
        <w:tc>
          <w:tcPr>
            <w:tcW w:w="9071" w:type="dxa"/>
            <w:gridSpan w:val="3"/>
            <w:shd w:val="clear" w:color="auto" w:fill="auto"/>
          </w:tcPr>
          <w:p w:rsidR="00EA69C7" w:rsidRPr="00EA69C7" w:rsidRDefault="00EA69C7" w:rsidP="008B751D">
            <w:pPr>
              <w:spacing w:before="60" w:after="60"/>
              <w:rPr>
                <w:rFonts w:cs="Arial"/>
                <w:b/>
              </w:rPr>
            </w:pPr>
          </w:p>
        </w:tc>
      </w:tr>
      <w:tr w:rsidR="00EA69C7" w:rsidRPr="00EA69C7" w:rsidTr="00D56727">
        <w:tc>
          <w:tcPr>
            <w:tcW w:w="1418" w:type="dxa"/>
            <w:gridSpan w:val="2"/>
            <w:shd w:val="clear" w:color="auto" w:fill="auto"/>
          </w:tcPr>
          <w:p w:rsidR="00EA69C7" w:rsidRPr="00EA69C7" w:rsidRDefault="00EA69C7" w:rsidP="008B751D">
            <w:pPr>
              <w:spacing w:before="60" w:after="60"/>
              <w:rPr>
                <w:rFonts w:cs="Arial"/>
                <w:b/>
              </w:rPr>
            </w:pPr>
            <w:r w:rsidRPr="00EA69C7">
              <w:rPr>
                <w:rFonts w:cs="Arial"/>
                <w:b/>
              </w:rPr>
              <w:t>Context:</w:t>
            </w:r>
          </w:p>
        </w:tc>
        <w:tc>
          <w:tcPr>
            <w:tcW w:w="7653" w:type="dxa"/>
            <w:shd w:val="clear" w:color="auto" w:fill="auto"/>
          </w:tcPr>
          <w:p w:rsidR="00EA69C7" w:rsidRPr="00EA69C7" w:rsidRDefault="00EA69C7" w:rsidP="008B751D">
            <w:pPr>
              <w:spacing w:before="60" w:after="60"/>
              <w:rPr>
                <w:rFonts w:cs="Arial"/>
                <w:b/>
              </w:rPr>
            </w:pPr>
          </w:p>
          <w:p w:rsidR="00EA69C7" w:rsidRPr="00EA69C7" w:rsidRDefault="00EA69C7" w:rsidP="008B751D">
            <w:pPr>
              <w:spacing w:before="60" w:after="60"/>
              <w:rPr>
                <w:rFonts w:cs="Arial"/>
                <w:b/>
              </w:rPr>
            </w:pPr>
          </w:p>
        </w:tc>
      </w:tr>
      <w:tr w:rsidR="00EA69C7" w:rsidRPr="00EA69C7" w:rsidTr="00D56727">
        <w:tc>
          <w:tcPr>
            <w:tcW w:w="9071" w:type="dxa"/>
            <w:gridSpan w:val="3"/>
            <w:shd w:val="clear" w:color="auto" w:fill="auto"/>
          </w:tcPr>
          <w:p w:rsidR="00EA69C7" w:rsidRPr="00EA69C7" w:rsidRDefault="00EA69C7" w:rsidP="00EA69C7">
            <w:pPr>
              <w:rPr>
                <w:rFonts w:eastAsiaTheme="minorHAnsi" w:cs="Arial"/>
                <w:lang w:eastAsia="en-AU"/>
              </w:rPr>
            </w:pPr>
            <w:r w:rsidRPr="00EA69C7">
              <w:rPr>
                <w:rFonts w:eastAsiaTheme="minorHAnsi" w:cs="Arial"/>
                <w:lang w:eastAsia="en-AU"/>
              </w:rPr>
              <w:t xml:space="preserve">Tenants Victoria is a specialist community legal centre based in Fitzroy, Melbourne, supporting tenants in public and private housing and rooming houses. We provide legal advice, referral and representation to tenants and we advocate and campaign for reform to residential tenancy law and practice. Through our education and training programs we support other community agencies build capability to assist their clients. </w:t>
            </w:r>
          </w:p>
          <w:p w:rsidR="00EA69C7" w:rsidRPr="00EA69C7" w:rsidRDefault="00EA69C7" w:rsidP="00EA69C7">
            <w:pPr>
              <w:rPr>
                <w:rFonts w:eastAsiaTheme="minorHAnsi" w:cs="Arial"/>
                <w:lang w:eastAsia="en-AU"/>
              </w:rPr>
            </w:pPr>
          </w:p>
          <w:p w:rsidR="00EA69C7" w:rsidRPr="00EA69C7" w:rsidRDefault="00EA69C7" w:rsidP="008B751D">
            <w:pPr>
              <w:spacing w:before="60" w:after="120"/>
              <w:rPr>
                <w:rFonts w:cs="Arial"/>
              </w:rPr>
            </w:pPr>
            <w:r w:rsidRPr="00EA69C7">
              <w:rPr>
                <w:rFonts w:cs="Arial"/>
              </w:rPr>
              <w:t xml:space="preserve"> Clients </w:t>
            </w:r>
            <w:r w:rsidR="00033A6A">
              <w:rPr>
                <w:rFonts w:cs="Arial"/>
              </w:rPr>
              <w:t xml:space="preserve">of </w:t>
            </w:r>
            <w:r w:rsidR="00033A6A" w:rsidRPr="00C32412">
              <w:rPr>
                <w:rFonts w:cs="Arial"/>
              </w:rPr>
              <w:t xml:space="preserve">Tenants </w:t>
            </w:r>
            <w:r w:rsidR="00033A6A">
              <w:rPr>
                <w:rFonts w:cs="Arial"/>
              </w:rPr>
              <w:t>Victoria</w:t>
            </w:r>
            <w:r w:rsidR="00033A6A" w:rsidRPr="00C32412">
              <w:rPr>
                <w:rFonts w:cs="Arial"/>
              </w:rPr>
              <w:t xml:space="preserve"> Legal Service (the Legal Service</w:t>
            </w:r>
            <w:r w:rsidR="00033A6A">
              <w:rPr>
                <w:rFonts w:cs="Arial"/>
              </w:rPr>
              <w:t xml:space="preserve"> or TVLS)</w:t>
            </w:r>
            <w:r w:rsidR="00033A6A" w:rsidRPr="00EA69C7">
              <w:rPr>
                <w:rFonts w:cs="Arial"/>
              </w:rPr>
              <w:t xml:space="preserve"> </w:t>
            </w:r>
            <w:r w:rsidRPr="00EA69C7">
              <w:rPr>
                <w:rFonts w:cs="Arial"/>
              </w:rPr>
              <w:t>are primarily residential tenants (including public and community housing, rooming house and caravan park residents) but may include some clients with general consumer problems.</w:t>
            </w:r>
          </w:p>
          <w:p w:rsidR="00EA69C7" w:rsidRPr="00EA69C7" w:rsidRDefault="00EA69C7" w:rsidP="008B751D">
            <w:pPr>
              <w:spacing w:before="60" w:after="120"/>
              <w:rPr>
                <w:rFonts w:cs="Arial"/>
              </w:rPr>
            </w:pPr>
            <w:r w:rsidRPr="00EA69C7">
              <w:rPr>
                <w:rFonts w:cs="Arial"/>
              </w:rPr>
              <w:t>The Legal Service currently employs staff in a range of roles. A Principal Lawyer is employed as a supervising legal practitioner to take responsibility for the services delivered as required by</w:t>
            </w:r>
            <w:r w:rsidRPr="00EA69C7">
              <w:rPr>
                <w:rFonts w:cs="Arial"/>
                <w:i/>
                <w:w w:val="105"/>
              </w:rPr>
              <w:t xml:space="preserve"> </w:t>
            </w:r>
            <w:r w:rsidRPr="00EA69C7">
              <w:rPr>
                <w:rFonts w:cs="Arial"/>
                <w:w w:val="105"/>
              </w:rPr>
              <w:t xml:space="preserve">the </w:t>
            </w:r>
            <w:r w:rsidRPr="00EA69C7">
              <w:rPr>
                <w:rFonts w:cs="Arial"/>
                <w:i/>
                <w:w w:val="105"/>
              </w:rPr>
              <w:t>Legal Profession Uniform Law Application Act 2014</w:t>
            </w:r>
            <w:r w:rsidRPr="00EA69C7">
              <w:rPr>
                <w:rFonts w:cs="Arial"/>
              </w:rPr>
              <w:t>. The Principal Lawyer is assisted by Senior Lawyers who provide direct supervision of other casework and advice staff.</w:t>
            </w:r>
          </w:p>
          <w:p w:rsidR="00EA69C7" w:rsidRPr="00EA69C7" w:rsidRDefault="00EA69C7" w:rsidP="008B751D">
            <w:pPr>
              <w:spacing w:before="60" w:after="60"/>
              <w:rPr>
                <w:rFonts w:cs="Arial"/>
                <w:b/>
              </w:rPr>
            </w:pPr>
            <w:r w:rsidRPr="00EA69C7">
              <w:rPr>
                <w:rFonts w:cs="Arial"/>
              </w:rPr>
              <w:t>The Legal Service is required to operate in accordance with a range of statutory requirements, funding and service agreements and internal guidelines.</w:t>
            </w:r>
          </w:p>
        </w:tc>
      </w:tr>
      <w:tr w:rsidR="00EA69C7" w:rsidRPr="00EA69C7" w:rsidTr="00D56727">
        <w:tc>
          <w:tcPr>
            <w:tcW w:w="9071" w:type="dxa"/>
            <w:gridSpan w:val="3"/>
          </w:tcPr>
          <w:p w:rsidR="00EA69C7" w:rsidRPr="00EA69C7" w:rsidRDefault="00EA69C7" w:rsidP="008B751D">
            <w:pPr>
              <w:spacing w:before="60" w:after="60"/>
              <w:rPr>
                <w:rFonts w:cs="Arial"/>
                <w:b/>
              </w:rPr>
            </w:pPr>
          </w:p>
        </w:tc>
      </w:tr>
      <w:tr w:rsidR="00EA69C7" w:rsidRPr="00EA69C7" w:rsidTr="00D56727">
        <w:tc>
          <w:tcPr>
            <w:tcW w:w="9071" w:type="dxa"/>
            <w:gridSpan w:val="3"/>
          </w:tcPr>
          <w:p w:rsidR="00EA69C7" w:rsidRPr="00EA69C7" w:rsidRDefault="00EA69C7" w:rsidP="008B751D">
            <w:pPr>
              <w:spacing w:before="60" w:after="60"/>
              <w:rPr>
                <w:rFonts w:cs="Arial"/>
                <w:b/>
              </w:rPr>
            </w:pPr>
            <w:r w:rsidRPr="00EA69C7">
              <w:rPr>
                <w:rFonts w:cs="Arial"/>
                <w:b/>
              </w:rPr>
              <w:t>Objectives:</w:t>
            </w:r>
          </w:p>
        </w:tc>
      </w:tr>
      <w:tr w:rsidR="00EA69C7" w:rsidRPr="00EA69C7" w:rsidTr="00D56727">
        <w:tc>
          <w:tcPr>
            <w:tcW w:w="534" w:type="dxa"/>
          </w:tcPr>
          <w:p w:rsidR="00EA69C7" w:rsidRPr="00EA69C7" w:rsidRDefault="00EA69C7" w:rsidP="00EA69C7">
            <w:pPr>
              <w:numPr>
                <w:ilvl w:val="0"/>
                <w:numId w:val="2"/>
              </w:numPr>
              <w:tabs>
                <w:tab w:val="clear" w:pos="397"/>
                <w:tab w:val="num" w:pos="360"/>
              </w:tabs>
              <w:spacing w:before="60" w:after="60"/>
              <w:ind w:left="0" w:firstLine="0"/>
              <w:rPr>
                <w:rFonts w:cs="Arial"/>
                <w:b/>
              </w:rPr>
            </w:pPr>
          </w:p>
        </w:tc>
        <w:tc>
          <w:tcPr>
            <w:tcW w:w="8537" w:type="dxa"/>
            <w:gridSpan w:val="2"/>
          </w:tcPr>
          <w:p w:rsidR="00EA69C7" w:rsidRPr="00EA69C7" w:rsidRDefault="00EA69C7" w:rsidP="00033A6A">
            <w:pPr>
              <w:spacing w:before="60" w:after="60"/>
              <w:rPr>
                <w:rFonts w:cs="Arial"/>
                <w:b/>
                <w:bCs/>
              </w:rPr>
            </w:pPr>
            <w:r w:rsidRPr="00EA69C7">
              <w:rPr>
                <w:rFonts w:cs="Arial"/>
                <w:b/>
                <w:bCs/>
              </w:rPr>
              <w:t>To provide high quality legal assistance to clients of the TVLS</w:t>
            </w:r>
          </w:p>
        </w:tc>
      </w:tr>
      <w:tr w:rsidR="00EA69C7" w:rsidRPr="00EA69C7" w:rsidTr="00D56727">
        <w:tc>
          <w:tcPr>
            <w:tcW w:w="534" w:type="dxa"/>
          </w:tcPr>
          <w:p w:rsidR="00EA69C7" w:rsidRPr="00EA69C7" w:rsidRDefault="00EA69C7" w:rsidP="00EA69C7">
            <w:pPr>
              <w:numPr>
                <w:ilvl w:val="0"/>
                <w:numId w:val="2"/>
              </w:numPr>
              <w:tabs>
                <w:tab w:val="clear" w:pos="397"/>
                <w:tab w:val="num" w:pos="360"/>
              </w:tabs>
              <w:spacing w:before="60" w:after="60"/>
              <w:ind w:left="0" w:firstLine="0"/>
              <w:rPr>
                <w:rFonts w:cs="Arial"/>
                <w:b/>
              </w:rPr>
            </w:pPr>
          </w:p>
        </w:tc>
        <w:tc>
          <w:tcPr>
            <w:tcW w:w="8537" w:type="dxa"/>
            <w:gridSpan w:val="2"/>
          </w:tcPr>
          <w:p w:rsidR="00EA69C7" w:rsidRPr="00EA69C7" w:rsidRDefault="00EA69C7" w:rsidP="008B751D">
            <w:pPr>
              <w:spacing w:before="60" w:after="60"/>
              <w:rPr>
                <w:rFonts w:cs="Arial"/>
                <w:b/>
                <w:bCs/>
              </w:rPr>
            </w:pPr>
            <w:r w:rsidRPr="00EA69C7">
              <w:rPr>
                <w:rFonts w:cs="Arial"/>
                <w:b/>
                <w:bCs/>
              </w:rPr>
              <w:t>To provide appropriate legal advice to client organisations and their staff as required</w:t>
            </w:r>
          </w:p>
        </w:tc>
      </w:tr>
      <w:tr w:rsidR="00EA69C7" w:rsidRPr="00EA69C7" w:rsidTr="00D56727">
        <w:tc>
          <w:tcPr>
            <w:tcW w:w="534" w:type="dxa"/>
          </w:tcPr>
          <w:p w:rsidR="00EA69C7" w:rsidRPr="00EA69C7" w:rsidRDefault="00EA69C7" w:rsidP="00EA69C7">
            <w:pPr>
              <w:numPr>
                <w:ilvl w:val="0"/>
                <w:numId w:val="2"/>
              </w:numPr>
              <w:tabs>
                <w:tab w:val="clear" w:pos="397"/>
                <w:tab w:val="num" w:pos="360"/>
              </w:tabs>
              <w:spacing w:before="60" w:after="60"/>
              <w:ind w:left="0" w:firstLine="0"/>
              <w:rPr>
                <w:rFonts w:cs="Arial"/>
                <w:b/>
              </w:rPr>
            </w:pPr>
          </w:p>
        </w:tc>
        <w:tc>
          <w:tcPr>
            <w:tcW w:w="8537" w:type="dxa"/>
            <w:gridSpan w:val="2"/>
          </w:tcPr>
          <w:p w:rsidR="00EA69C7" w:rsidRPr="007B7CF2" w:rsidRDefault="007B7CF2" w:rsidP="007B7CF2">
            <w:pPr>
              <w:rPr>
                <w:rFonts w:cs="Arial"/>
                <w:b/>
              </w:rPr>
            </w:pPr>
            <w:r w:rsidRPr="007B7CF2">
              <w:rPr>
                <w:rFonts w:cs="Arial"/>
                <w:b/>
              </w:rPr>
              <w:t>Engagement with policy and advocacy by identification of systemic issues and contribution to addressing reform</w:t>
            </w:r>
          </w:p>
        </w:tc>
      </w:tr>
      <w:tr w:rsidR="00EA69C7" w:rsidRPr="00EA69C7" w:rsidTr="00D56727">
        <w:tc>
          <w:tcPr>
            <w:tcW w:w="534" w:type="dxa"/>
          </w:tcPr>
          <w:p w:rsidR="00EA69C7" w:rsidRPr="00EA69C7" w:rsidRDefault="00EA69C7" w:rsidP="00EA69C7">
            <w:pPr>
              <w:numPr>
                <w:ilvl w:val="0"/>
                <w:numId w:val="2"/>
              </w:numPr>
              <w:tabs>
                <w:tab w:val="clear" w:pos="397"/>
                <w:tab w:val="num" w:pos="360"/>
              </w:tabs>
              <w:spacing w:before="60" w:after="60"/>
              <w:ind w:left="0" w:firstLine="0"/>
              <w:rPr>
                <w:rFonts w:cs="Arial"/>
                <w:b/>
              </w:rPr>
            </w:pPr>
          </w:p>
        </w:tc>
        <w:tc>
          <w:tcPr>
            <w:tcW w:w="8537" w:type="dxa"/>
            <w:gridSpan w:val="2"/>
          </w:tcPr>
          <w:p w:rsidR="00EA69C7" w:rsidRPr="00EA69C7" w:rsidRDefault="00EA69C7" w:rsidP="008B751D">
            <w:pPr>
              <w:spacing w:before="60" w:after="60"/>
              <w:rPr>
                <w:rFonts w:cs="Arial"/>
                <w:b/>
                <w:bCs/>
              </w:rPr>
            </w:pPr>
            <w:r w:rsidRPr="00EA69C7">
              <w:rPr>
                <w:rFonts w:cs="Arial"/>
                <w:b/>
                <w:bCs/>
              </w:rPr>
              <w:t>To assist the organisation to maintain appropriate professional standards and comply with relevant legal requirements.</w:t>
            </w:r>
          </w:p>
        </w:tc>
      </w:tr>
      <w:tr w:rsidR="00EA69C7" w:rsidRPr="00EA69C7" w:rsidTr="00D56727">
        <w:tc>
          <w:tcPr>
            <w:tcW w:w="9071" w:type="dxa"/>
            <w:gridSpan w:val="3"/>
          </w:tcPr>
          <w:p w:rsidR="00EA69C7" w:rsidRPr="00EA69C7" w:rsidRDefault="00EA69C7" w:rsidP="008B751D">
            <w:pPr>
              <w:spacing w:before="60" w:after="60"/>
              <w:rPr>
                <w:rFonts w:cs="Arial"/>
                <w:b/>
              </w:rPr>
            </w:pPr>
          </w:p>
        </w:tc>
      </w:tr>
      <w:tr w:rsidR="00EA69C7" w:rsidRPr="00EA69C7" w:rsidTr="00D56727">
        <w:tc>
          <w:tcPr>
            <w:tcW w:w="9071" w:type="dxa"/>
            <w:gridSpan w:val="3"/>
          </w:tcPr>
          <w:p w:rsidR="00EA69C7" w:rsidRPr="00EA69C7" w:rsidRDefault="007B7CF2" w:rsidP="008B751D">
            <w:pPr>
              <w:spacing w:before="60" w:after="60"/>
              <w:rPr>
                <w:rFonts w:cs="Arial"/>
                <w:b/>
              </w:rPr>
            </w:pPr>
            <w:r>
              <w:rPr>
                <w:rFonts w:cs="Arial"/>
                <w:b/>
              </w:rPr>
              <w:t>Key Responsibilities:</w:t>
            </w:r>
          </w:p>
        </w:tc>
      </w:tr>
      <w:tr w:rsidR="00EA69C7" w:rsidRPr="00EA69C7" w:rsidTr="00D56727">
        <w:tc>
          <w:tcPr>
            <w:tcW w:w="9071" w:type="dxa"/>
            <w:gridSpan w:val="3"/>
          </w:tcPr>
          <w:p w:rsidR="00EA69C7" w:rsidRPr="00EA69C7" w:rsidRDefault="00EA69C7" w:rsidP="008B751D">
            <w:pPr>
              <w:spacing w:before="60" w:after="60"/>
              <w:rPr>
                <w:rFonts w:cs="Arial"/>
                <w:b/>
              </w:rPr>
            </w:pPr>
            <w:r w:rsidRPr="00EA69C7">
              <w:rPr>
                <w:rFonts w:cs="Arial"/>
                <w:lang w:val="en-US"/>
              </w:rPr>
              <w:t>Lawyers are required to perform all duties under the direct supervision of the Senior Lawyers and in accordance with the TVLS Practice Manual.</w:t>
            </w:r>
            <w:r w:rsidRPr="00EA69C7">
              <w:rPr>
                <w:rFonts w:cs="Arial"/>
              </w:rPr>
              <w:t xml:space="preserve"> To further the above objectives the key duties of the position include but are not limited to the following:</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Maintain and apply a comprehensive working knowledge of the relevant legislation, social housing policies and procedures and approved TVLS practice.</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pStyle w:val="Header"/>
              <w:spacing w:before="60" w:after="60"/>
              <w:rPr>
                <w:rFonts w:cs="Arial"/>
              </w:rPr>
            </w:pPr>
            <w:r w:rsidRPr="00EA69C7">
              <w:rPr>
                <w:rFonts w:cs="Arial"/>
              </w:rPr>
              <w:t>Participate in the roster of advice services including phone, in-person, e-mail services and the Outreach program as and when required.</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pStyle w:val="Header"/>
              <w:spacing w:before="60" w:after="60"/>
              <w:rPr>
                <w:rFonts w:cs="Arial"/>
              </w:rPr>
            </w:pPr>
            <w:r w:rsidRPr="00EA69C7">
              <w:rPr>
                <w:rFonts w:cs="Arial"/>
              </w:rPr>
              <w:t>Provide information, advice and other relevant assistance to all eligible clients.</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Conduct litigation and advocacy work on behalf of TVLS clients as required.</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Properly maintain advice notes, casework files and service data in accordance with TVLS policies, procedures, service guidelines and other requirements.</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Identify systemic issues arising from client assistance and report those issues to policy staff in accordance with the service guidelines.</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 xml:space="preserve">Achieve key performance activity levels and goals within the limits set from time to time by the organisation. </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Provide appropriate legal advice about residential tenancies matters to client organisations and their staff as required.</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7B7CF2" w:rsidP="008B751D">
            <w:pPr>
              <w:tabs>
                <w:tab w:val="left" w:pos="907"/>
              </w:tabs>
              <w:spacing w:before="60" w:after="60"/>
              <w:rPr>
                <w:rFonts w:cs="Arial"/>
              </w:rPr>
            </w:pPr>
            <w:r>
              <w:rPr>
                <w:rFonts w:cs="Arial"/>
              </w:rPr>
              <w:t xml:space="preserve">Undertake professional development activities to improve and develop legal and non- legal skills </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Assist with continuous improvement of the TVLS.</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EA69C7" w:rsidP="008B751D">
            <w:pPr>
              <w:spacing w:before="60" w:after="60"/>
              <w:rPr>
                <w:rFonts w:cs="Arial"/>
              </w:rPr>
            </w:pPr>
            <w:r w:rsidRPr="00EA69C7">
              <w:rPr>
                <w:rFonts w:cs="Arial"/>
              </w:rPr>
              <w:t>Assist with the training and orientation of new staff.</w:t>
            </w:r>
          </w:p>
        </w:tc>
      </w:tr>
      <w:tr w:rsidR="00EA69C7" w:rsidRPr="00EA69C7" w:rsidTr="00D56727">
        <w:trPr>
          <w:cantSplit/>
        </w:trPr>
        <w:tc>
          <w:tcPr>
            <w:tcW w:w="534" w:type="dxa"/>
          </w:tcPr>
          <w:p w:rsidR="00EA69C7" w:rsidRPr="00EA69C7" w:rsidRDefault="00EA69C7" w:rsidP="00EA69C7">
            <w:pPr>
              <w:numPr>
                <w:ilvl w:val="0"/>
                <w:numId w:val="1"/>
              </w:numPr>
              <w:spacing w:before="60" w:after="60"/>
              <w:rPr>
                <w:rFonts w:cs="Arial"/>
              </w:rPr>
            </w:pPr>
          </w:p>
        </w:tc>
        <w:tc>
          <w:tcPr>
            <w:tcW w:w="8537" w:type="dxa"/>
            <w:gridSpan w:val="2"/>
          </w:tcPr>
          <w:p w:rsidR="00EA69C7" w:rsidRPr="00EA69C7" w:rsidRDefault="007B7CF2" w:rsidP="008B751D">
            <w:pPr>
              <w:spacing w:before="60" w:after="60"/>
              <w:rPr>
                <w:rFonts w:cs="Arial"/>
              </w:rPr>
            </w:pPr>
            <w:r>
              <w:rPr>
                <w:rFonts w:cs="Arial"/>
              </w:rPr>
              <w:t>Perform other</w:t>
            </w:r>
            <w:r w:rsidR="00EA69C7" w:rsidRPr="00EA69C7">
              <w:rPr>
                <w:rFonts w:cs="Arial"/>
              </w:rPr>
              <w:t xml:space="preserve"> duties as directed by the Principal Lawyer or the CEO.</w:t>
            </w:r>
          </w:p>
        </w:tc>
      </w:tr>
    </w:tbl>
    <w:p w:rsidR="00EA69C7" w:rsidRPr="00EA69C7" w:rsidRDefault="00EA69C7" w:rsidP="00EA69C7">
      <w:pPr>
        <w:rPr>
          <w:rFonts w:cs="Arial"/>
        </w:rPr>
      </w:pPr>
    </w:p>
    <w:tbl>
      <w:tblPr>
        <w:tblW w:w="0" w:type="auto"/>
        <w:tblLook w:val="00A0" w:firstRow="1" w:lastRow="0" w:firstColumn="1" w:lastColumn="0" w:noHBand="0" w:noVBand="0"/>
      </w:tblPr>
      <w:tblGrid>
        <w:gridCol w:w="534"/>
        <w:gridCol w:w="1134"/>
        <w:gridCol w:w="7403"/>
      </w:tblGrid>
      <w:tr w:rsidR="00EA69C7" w:rsidRPr="00EA69C7" w:rsidTr="008B751D">
        <w:tc>
          <w:tcPr>
            <w:tcW w:w="9287" w:type="dxa"/>
            <w:gridSpan w:val="3"/>
          </w:tcPr>
          <w:p w:rsidR="00EA69C7" w:rsidRPr="00EA69C7" w:rsidRDefault="00EA69C7" w:rsidP="008B751D">
            <w:pPr>
              <w:spacing w:before="60" w:after="60"/>
              <w:rPr>
                <w:rFonts w:cs="Arial"/>
                <w:b/>
              </w:rPr>
            </w:pPr>
            <w:r w:rsidRPr="00EA69C7">
              <w:rPr>
                <w:rFonts w:cs="Arial"/>
                <w:b/>
              </w:rPr>
              <w:t>Corporate Responsibilities:</w:t>
            </w:r>
          </w:p>
        </w:tc>
      </w:tr>
      <w:tr w:rsidR="00EA69C7" w:rsidRPr="00EA69C7" w:rsidTr="008B751D">
        <w:tc>
          <w:tcPr>
            <w:tcW w:w="9287" w:type="dxa"/>
            <w:gridSpan w:val="3"/>
          </w:tcPr>
          <w:p w:rsidR="00EA69C7" w:rsidRPr="00EA69C7" w:rsidRDefault="00EA69C7" w:rsidP="008B751D">
            <w:pPr>
              <w:spacing w:before="60" w:after="60"/>
              <w:ind w:left="567" w:hanging="567"/>
              <w:rPr>
                <w:rFonts w:cs="Arial"/>
              </w:rPr>
            </w:pPr>
            <w:r w:rsidRPr="00EA69C7">
              <w:rPr>
                <w:rFonts w:cs="Arial"/>
              </w:rPr>
              <w:t>All staff are expected to behave at all times in a manner consistent with our:</w:t>
            </w:r>
          </w:p>
        </w:tc>
      </w:tr>
      <w:tr w:rsidR="00EA69C7" w:rsidRPr="00EA69C7" w:rsidTr="008B751D">
        <w:tc>
          <w:tcPr>
            <w:tcW w:w="534" w:type="dxa"/>
          </w:tcPr>
          <w:p w:rsidR="00EA69C7" w:rsidRPr="00EA69C7" w:rsidRDefault="00EA69C7" w:rsidP="00EA69C7">
            <w:pPr>
              <w:numPr>
                <w:ilvl w:val="0"/>
                <w:numId w:val="3"/>
              </w:numPr>
              <w:spacing w:before="60" w:after="60"/>
              <w:ind w:left="567"/>
              <w:rPr>
                <w:rFonts w:cs="Arial"/>
              </w:rPr>
            </w:pPr>
          </w:p>
        </w:tc>
        <w:tc>
          <w:tcPr>
            <w:tcW w:w="8753" w:type="dxa"/>
            <w:gridSpan w:val="2"/>
          </w:tcPr>
          <w:p w:rsidR="00EA69C7" w:rsidRPr="00EA69C7" w:rsidRDefault="00EA69C7" w:rsidP="008B751D">
            <w:pPr>
              <w:spacing w:before="60" w:after="60"/>
              <w:rPr>
                <w:rFonts w:cs="Arial"/>
              </w:rPr>
            </w:pPr>
            <w:r w:rsidRPr="00EA69C7">
              <w:rPr>
                <w:rFonts w:cs="Arial"/>
              </w:rPr>
              <w:t>Statement of Strategic Intent</w:t>
            </w:r>
          </w:p>
        </w:tc>
      </w:tr>
      <w:tr w:rsidR="00EA69C7" w:rsidRPr="00EA69C7" w:rsidTr="008B751D">
        <w:tc>
          <w:tcPr>
            <w:tcW w:w="534" w:type="dxa"/>
          </w:tcPr>
          <w:p w:rsidR="00EA69C7" w:rsidRPr="00EA69C7" w:rsidRDefault="00EA69C7" w:rsidP="00EA69C7">
            <w:pPr>
              <w:numPr>
                <w:ilvl w:val="0"/>
                <w:numId w:val="4"/>
              </w:numPr>
              <w:spacing w:before="60" w:after="60"/>
              <w:ind w:left="567"/>
              <w:rPr>
                <w:rFonts w:cs="Arial"/>
              </w:rPr>
            </w:pPr>
          </w:p>
        </w:tc>
        <w:tc>
          <w:tcPr>
            <w:tcW w:w="8753" w:type="dxa"/>
            <w:gridSpan w:val="2"/>
          </w:tcPr>
          <w:p w:rsidR="00EA69C7" w:rsidRPr="00EA69C7" w:rsidRDefault="00EA69C7" w:rsidP="008B751D">
            <w:pPr>
              <w:pStyle w:val="Header"/>
              <w:tabs>
                <w:tab w:val="clear" w:pos="4320"/>
                <w:tab w:val="clear" w:pos="8640"/>
              </w:tabs>
              <w:spacing w:before="60" w:after="60"/>
              <w:rPr>
                <w:rFonts w:cs="Arial"/>
              </w:rPr>
            </w:pPr>
            <w:r w:rsidRPr="00EA69C7">
              <w:rPr>
                <w:rFonts w:cs="Arial"/>
              </w:rPr>
              <w:t>Values and Style Statement</w:t>
            </w:r>
          </w:p>
        </w:tc>
      </w:tr>
      <w:tr w:rsidR="00EA69C7" w:rsidRPr="00EA69C7" w:rsidTr="008B751D">
        <w:tc>
          <w:tcPr>
            <w:tcW w:w="534" w:type="dxa"/>
          </w:tcPr>
          <w:p w:rsidR="00EA69C7" w:rsidRPr="00EA69C7" w:rsidRDefault="00EA69C7" w:rsidP="00EA69C7">
            <w:pPr>
              <w:numPr>
                <w:ilvl w:val="0"/>
                <w:numId w:val="5"/>
              </w:numPr>
              <w:spacing w:before="60" w:after="60"/>
              <w:ind w:left="567"/>
              <w:rPr>
                <w:rFonts w:cs="Arial"/>
              </w:rPr>
            </w:pPr>
          </w:p>
        </w:tc>
        <w:tc>
          <w:tcPr>
            <w:tcW w:w="8753" w:type="dxa"/>
            <w:gridSpan w:val="2"/>
          </w:tcPr>
          <w:p w:rsidR="00EA69C7" w:rsidRPr="00EA69C7" w:rsidRDefault="00EA69C7" w:rsidP="008B751D">
            <w:pPr>
              <w:pStyle w:val="Header"/>
              <w:tabs>
                <w:tab w:val="clear" w:pos="4320"/>
                <w:tab w:val="clear" w:pos="8640"/>
              </w:tabs>
              <w:spacing w:before="60" w:after="60"/>
              <w:rPr>
                <w:rFonts w:cs="Arial"/>
              </w:rPr>
            </w:pPr>
            <w:r w:rsidRPr="00EA69C7">
              <w:rPr>
                <w:rFonts w:cs="Arial"/>
              </w:rPr>
              <w:t>Quality Management System</w:t>
            </w:r>
          </w:p>
        </w:tc>
      </w:tr>
      <w:tr w:rsidR="00EA69C7" w:rsidRPr="00EA69C7" w:rsidTr="008B751D">
        <w:tc>
          <w:tcPr>
            <w:tcW w:w="534" w:type="dxa"/>
          </w:tcPr>
          <w:p w:rsidR="00EA69C7" w:rsidRPr="00EA69C7" w:rsidRDefault="00EA69C7" w:rsidP="00EA69C7">
            <w:pPr>
              <w:numPr>
                <w:ilvl w:val="0"/>
                <w:numId w:val="5"/>
              </w:numPr>
              <w:spacing w:before="60" w:after="60"/>
              <w:ind w:left="567"/>
              <w:rPr>
                <w:rFonts w:cs="Arial"/>
              </w:rPr>
            </w:pPr>
          </w:p>
        </w:tc>
        <w:tc>
          <w:tcPr>
            <w:tcW w:w="8753" w:type="dxa"/>
            <w:gridSpan w:val="2"/>
          </w:tcPr>
          <w:p w:rsidR="00EA69C7" w:rsidRPr="00EA69C7" w:rsidRDefault="00EA69C7" w:rsidP="008B751D">
            <w:pPr>
              <w:pStyle w:val="Header"/>
              <w:tabs>
                <w:tab w:val="clear" w:pos="4320"/>
                <w:tab w:val="clear" w:pos="8640"/>
              </w:tabs>
              <w:spacing w:before="60" w:after="60"/>
              <w:rPr>
                <w:rFonts w:cs="Arial"/>
              </w:rPr>
            </w:pPr>
            <w:r w:rsidRPr="00EA69C7">
              <w:rPr>
                <w:rFonts w:cs="Arial"/>
              </w:rPr>
              <w:t>Legal Practice Manual</w:t>
            </w:r>
            <w:bookmarkStart w:id="0" w:name="_GoBack"/>
            <w:bookmarkEnd w:id="0"/>
          </w:p>
        </w:tc>
      </w:tr>
      <w:tr w:rsidR="00EA69C7" w:rsidRPr="00EA69C7" w:rsidTr="008B751D">
        <w:trPr>
          <w:cantSplit/>
        </w:trPr>
        <w:tc>
          <w:tcPr>
            <w:tcW w:w="1668" w:type="dxa"/>
            <w:gridSpan w:val="2"/>
            <w:shd w:val="clear" w:color="auto" w:fill="auto"/>
          </w:tcPr>
          <w:p w:rsidR="00EA69C7" w:rsidRPr="00EA69C7" w:rsidRDefault="00EA69C7" w:rsidP="008B751D">
            <w:pPr>
              <w:spacing w:before="60" w:after="60"/>
              <w:rPr>
                <w:rFonts w:cs="Arial"/>
                <w:b/>
              </w:rPr>
            </w:pPr>
          </w:p>
        </w:tc>
        <w:tc>
          <w:tcPr>
            <w:tcW w:w="7619" w:type="dxa"/>
            <w:shd w:val="clear" w:color="auto" w:fill="auto"/>
          </w:tcPr>
          <w:p w:rsidR="00EA69C7" w:rsidRPr="00EA69C7" w:rsidRDefault="00EA69C7" w:rsidP="008B751D">
            <w:pPr>
              <w:pStyle w:val="Header"/>
              <w:tabs>
                <w:tab w:val="clear" w:pos="4320"/>
                <w:tab w:val="clear" w:pos="8640"/>
              </w:tabs>
              <w:spacing w:before="60" w:after="60"/>
              <w:rPr>
                <w:rFonts w:cs="Arial"/>
              </w:rPr>
            </w:pPr>
          </w:p>
        </w:tc>
      </w:tr>
      <w:tr w:rsidR="00EA69C7" w:rsidRPr="00EA69C7" w:rsidTr="008B751D">
        <w:trPr>
          <w:cantSplit/>
        </w:trPr>
        <w:tc>
          <w:tcPr>
            <w:tcW w:w="1668" w:type="dxa"/>
            <w:gridSpan w:val="2"/>
          </w:tcPr>
          <w:p w:rsidR="00EA69C7" w:rsidRPr="00EA69C7" w:rsidRDefault="00EA69C7" w:rsidP="008B751D">
            <w:pPr>
              <w:spacing w:before="60" w:after="60"/>
              <w:rPr>
                <w:rFonts w:cs="Arial"/>
              </w:rPr>
            </w:pPr>
            <w:r w:rsidRPr="00EA69C7">
              <w:rPr>
                <w:rFonts w:cs="Arial"/>
                <w:b/>
              </w:rPr>
              <w:t>Accountability:</w:t>
            </w:r>
          </w:p>
        </w:tc>
        <w:tc>
          <w:tcPr>
            <w:tcW w:w="7619" w:type="dxa"/>
          </w:tcPr>
          <w:p w:rsidR="00EA69C7" w:rsidRPr="00EA69C7" w:rsidRDefault="00EA69C7" w:rsidP="00975669">
            <w:pPr>
              <w:pStyle w:val="Header"/>
              <w:tabs>
                <w:tab w:val="clear" w:pos="4320"/>
                <w:tab w:val="clear" w:pos="8640"/>
              </w:tabs>
              <w:spacing w:before="60" w:after="60"/>
              <w:rPr>
                <w:rFonts w:cs="Arial"/>
              </w:rPr>
            </w:pPr>
            <w:r w:rsidRPr="00EA69C7">
              <w:rPr>
                <w:rFonts w:cs="Arial"/>
              </w:rPr>
              <w:t xml:space="preserve">The position reports to the </w:t>
            </w:r>
            <w:r w:rsidR="00975669">
              <w:rPr>
                <w:rFonts w:cs="Arial"/>
              </w:rPr>
              <w:t xml:space="preserve">Senior Lawyer and </w:t>
            </w:r>
            <w:r w:rsidRPr="00EA69C7">
              <w:rPr>
                <w:rFonts w:cs="Arial"/>
              </w:rPr>
              <w:t>Principal Lawyer.</w:t>
            </w:r>
          </w:p>
        </w:tc>
      </w:tr>
      <w:tr w:rsidR="00EA69C7" w:rsidRPr="00EA69C7" w:rsidTr="008B751D">
        <w:trPr>
          <w:cantSplit/>
        </w:trPr>
        <w:tc>
          <w:tcPr>
            <w:tcW w:w="1668" w:type="dxa"/>
            <w:gridSpan w:val="2"/>
          </w:tcPr>
          <w:p w:rsidR="00EA69C7" w:rsidRPr="007B7CF2" w:rsidRDefault="00EA69C7" w:rsidP="008B751D">
            <w:pPr>
              <w:spacing w:before="60" w:after="60"/>
              <w:rPr>
                <w:rFonts w:cs="Arial"/>
                <w:i/>
              </w:rPr>
            </w:pPr>
          </w:p>
        </w:tc>
        <w:tc>
          <w:tcPr>
            <w:tcW w:w="7619" w:type="dxa"/>
          </w:tcPr>
          <w:p w:rsidR="00EA69C7" w:rsidRPr="00EA69C7" w:rsidRDefault="00EA69C7" w:rsidP="008B751D">
            <w:pPr>
              <w:pStyle w:val="Header"/>
              <w:tabs>
                <w:tab w:val="clear" w:pos="4320"/>
                <w:tab w:val="clear" w:pos="8640"/>
              </w:tabs>
              <w:spacing w:before="60" w:after="60"/>
              <w:rPr>
                <w:rFonts w:cs="Arial"/>
              </w:rPr>
            </w:pPr>
          </w:p>
        </w:tc>
      </w:tr>
      <w:tr w:rsidR="00EA69C7" w:rsidRPr="00EA69C7" w:rsidTr="008B751D">
        <w:trPr>
          <w:cantSplit/>
        </w:trPr>
        <w:tc>
          <w:tcPr>
            <w:tcW w:w="9287" w:type="dxa"/>
            <w:gridSpan w:val="3"/>
          </w:tcPr>
          <w:p w:rsidR="00EA69C7" w:rsidRPr="00EA69C7" w:rsidRDefault="00EA69C7" w:rsidP="008B751D">
            <w:pPr>
              <w:pStyle w:val="Header"/>
              <w:tabs>
                <w:tab w:val="clear" w:pos="4320"/>
                <w:tab w:val="clear" w:pos="8640"/>
              </w:tabs>
              <w:spacing w:before="60" w:after="60"/>
              <w:rPr>
                <w:rFonts w:cs="Arial"/>
              </w:rPr>
            </w:pPr>
            <w:r w:rsidRPr="00EA69C7">
              <w:rPr>
                <w:rFonts w:cs="Arial"/>
                <w:b/>
              </w:rPr>
              <w:t>Special Requirements:</w:t>
            </w:r>
          </w:p>
        </w:tc>
      </w:tr>
      <w:tr w:rsidR="00EA69C7" w:rsidRPr="00EA69C7" w:rsidTr="008B751D">
        <w:trPr>
          <w:cantSplit/>
        </w:trPr>
        <w:tc>
          <w:tcPr>
            <w:tcW w:w="534" w:type="dxa"/>
          </w:tcPr>
          <w:p w:rsidR="00EA69C7" w:rsidRPr="00EA69C7" w:rsidRDefault="00EA69C7" w:rsidP="00EA69C7">
            <w:pPr>
              <w:pStyle w:val="Header"/>
              <w:numPr>
                <w:ilvl w:val="0"/>
                <w:numId w:val="6"/>
              </w:numPr>
              <w:tabs>
                <w:tab w:val="clear" w:pos="4320"/>
                <w:tab w:val="clear" w:pos="8640"/>
              </w:tabs>
              <w:spacing w:before="60" w:after="60"/>
              <w:rPr>
                <w:rFonts w:cs="Arial"/>
              </w:rPr>
            </w:pPr>
          </w:p>
        </w:tc>
        <w:tc>
          <w:tcPr>
            <w:tcW w:w="8753" w:type="dxa"/>
            <w:gridSpan w:val="2"/>
          </w:tcPr>
          <w:p w:rsidR="00EA69C7" w:rsidRPr="00EA69C7" w:rsidRDefault="00EA69C7" w:rsidP="008B751D">
            <w:pPr>
              <w:pStyle w:val="Header"/>
              <w:tabs>
                <w:tab w:val="clear" w:pos="4320"/>
                <w:tab w:val="clear" w:pos="8640"/>
              </w:tabs>
              <w:spacing w:before="60" w:after="60"/>
              <w:rPr>
                <w:rFonts w:cs="Arial"/>
              </w:rPr>
            </w:pPr>
            <w:r w:rsidRPr="00EA69C7">
              <w:rPr>
                <w:rFonts w:cs="Arial"/>
              </w:rPr>
              <w:t xml:space="preserve">Lawyers must be legally qualified and hold (or be able to hold) a practising certificate under the </w:t>
            </w:r>
            <w:r w:rsidRPr="00EA69C7">
              <w:rPr>
                <w:rFonts w:cs="Arial"/>
                <w:i/>
                <w:w w:val="105"/>
              </w:rPr>
              <w:t>Legal Profession Uniform Law Application Act 2014</w:t>
            </w:r>
            <w:r w:rsidRPr="00EA69C7">
              <w:rPr>
                <w:rFonts w:cs="Arial"/>
              </w:rPr>
              <w:t>.</w:t>
            </w:r>
          </w:p>
        </w:tc>
      </w:tr>
      <w:tr w:rsidR="00EA69C7" w:rsidRPr="00EA69C7" w:rsidTr="008B751D">
        <w:trPr>
          <w:cantSplit/>
        </w:trPr>
        <w:tc>
          <w:tcPr>
            <w:tcW w:w="534" w:type="dxa"/>
          </w:tcPr>
          <w:p w:rsidR="00EA69C7" w:rsidRPr="00EA69C7" w:rsidRDefault="00EA69C7" w:rsidP="00EA69C7">
            <w:pPr>
              <w:pStyle w:val="Header"/>
              <w:numPr>
                <w:ilvl w:val="0"/>
                <w:numId w:val="6"/>
              </w:numPr>
              <w:tabs>
                <w:tab w:val="clear" w:pos="4320"/>
                <w:tab w:val="clear" w:pos="8640"/>
              </w:tabs>
              <w:spacing w:before="60" w:after="60"/>
              <w:rPr>
                <w:rFonts w:cs="Arial"/>
              </w:rPr>
            </w:pPr>
          </w:p>
        </w:tc>
        <w:tc>
          <w:tcPr>
            <w:tcW w:w="8753" w:type="dxa"/>
            <w:gridSpan w:val="2"/>
          </w:tcPr>
          <w:p w:rsidR="00EA69C7" w:rsidRPr="00EA69C7" w:rsidRDefault="00EA69C7" w:rsidP="008B751D">
            <w:pPr>
              <w:pStyle w:val="Header"/>
              <w:tabs>
                <w:tab w:val="clear" w:pos="4320"/>
                <w:tab w:val="clear" w:pos="8640"/>
              </w:tabs>
              <w:spacing w:before="60" w:after="60"/>
              <w:rPr>
                <w:rFonts w:cs="Arial"/>
              </w:rPr>
            </w:pPr>
            <w:r w:rsidRPr="00EA69C7">
              <w:rPr>
                <w:rFonts w:cs="Arial"/>
              </w:rPr>
              <w:t xml:space="preserve">All advice and advocacy service staff must undertake a </w:t>
            </w:r>
            <w:r w:rsidR="00975669">
              <w:rPr>
                <w:rFonts w:cs="Arial"/>
              </w:rPr>
              <w:t xml:space="preserve">Police Check and </w:t>
            </w:r>
            <w:r w:rsidRPr="00EA69C7">
              <w:rPr>
                <w:rFonts w:cs="Arial"/>
              </w:rPr>
              <w:t>Working with Children Check prior to employment.</w:t>
            </w:r>
          </w:p>
        </w:tc>
      </w:tr>
    </w:tbl>
    <w:p w:rsidR="00DF38F4" w:rsidRPr="007B7CF2" w:rsidRDefault="007B7CF2">
      <w:pPr>
        <w:rPr>
          <w:rFonts w:cs="Arial"/>
          <w:i/>
        </w:rPr>
      </w:pPr>
      <w:r>
        <w:rPr>
          <w:rFonts w:cs="Arial"/>
          <w:i/>
        </w:rPr>
        <w:t>This position description outlines the current responsibilities of the position. These will be reviewed regularly with the staff member and are subject to change according to the needs and priorities of Tenancy Victoria</w:t>
      </w:r>
    </w:p>
    <w:sectPr w:rsidR="00DF38F4" w:rsidRPr="007B7CF2" w:rsidSect="008859C6">
      <w:headerReference w:type="even" r:id="rId7"/>
      <w:headerReference w:type="default" r:id="rId8"/>
      <w:footerReference w:type="even" r:id="rId9"/>
      <w:footerReference w:type="default" r:id="rId10"/>
      <w:headerReference w:type="first" r:id="rId11"/>
      <w:footerReference w:type="first" r:id="rId12"/>
      <w:pgSz w:w="11907" w:h="16840" w:code="9"/>
      <w:pgMar w:top="737" w:right="1418" w:bottom="794" w:left="1418" w:header="567"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19" w:rsidRDefault="00D94485">
      <w:r>
        <w:separator/>
      </w:r>
    </w:p>
  </w:endnote>
  <w:endnote w:type="continuationSeparator" w:id="0">
    <w:p w:rsidR="00777419" w:rsidRDefault="00D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85" w:rsidRDefault="00D944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87" w:rsidRDefault="007B7CF2" w:rsidP="00500642">
    <w:pPr>
      <w:pStyle w:val="Footer"/>
      <w:tabs>
        <w:tab w:val="clear" w:pos="4320"/>
        <w:tab w:val="clear" w:pos="8640"/>
        <w:tab w:val="center" w:pos="4536"/>
        <w:tab w:val="right" w:pos="9072"/>
      </w:tabs>
      <w:rPr>
        <w:rFonts w:cs="Arial"/>
        <w:sz w:val="18"/>
        <w:lang w:val="en-US"/>
      </w:rPr>
    </w:pPr>
    <w:r>
      <w:rPr>
        <w:rFonts w:cs="Arial"/>
        <w:sz w:val="18"/>
        <w:lang w:val="en-US"/>
      </w:rPr>
      <w:tab/>
      <w:t>Tenants Union of Victoria Ltd</w:t>
    </w:r>
    <w:r>
      <w:rPr>
        <w:rFonts w:cs="Arial"/>
        <w:sz w:val="18"/>
        <w:lang w:val="en-US"/>
      </w:rPr>
      <w:tab/>
    </w:r>
    <w:r>
      <w:rPr>
        <w:rFonts w:cs="Arial"/>
        <w:sz w:val="18"/>
        <w:lang w:val="en-US"/>
      </w:rPr>
      <w:sym w:font="Wingdings" w:char="F06C"/>
    </w:r>
    <w:r>
      <w:rPr>
        <w:rFonts w:cs="Arial"/>
        <w:sz w:val="18"/>
        <w:lang w:val="en-US"/>
      </w:rPr>
      <w:t xml:space="preserve"> </w:t>
    </w:r>
    <w:r w:rsidRPr="00500642">
      <w:rPr>
        <w:rFonts w:cs="Arial"/>
        <w:b/>
        <w:sz w:val="18"/>
        <w:lang w:val="en-US"/>
      </w:rPr>
      <w:fldChar w:fldCharType="begin"/>
    </w:r>
    <w:r w:rsidRPr="00500642">
      <w:rPr>
        <w:rFonts w:cs="Arial"/>
        <w:b/>
        <w:sz w:val="18"/>
        <w:lang w:val="en-US"/>
      </w:rPr>
      <w:instrText xml:space="preserve"> PAGE </w:instrText>
    </w:r>
    <w:r w:rsidRPr="00500642">
      <w:rPr>
        <w:rFonts w:cs="Arial"/>
        <w:b/>
        <w:sz w:val="18"/>
        <w:lang w:val="en-US"/>
      </w:rPr>
      <w:fldChar w:fldCharType="separate"/>
    </w:r>
    <w:r w:rsidR="00975669">
      <w:rPr>
        <w:rFonts w:cs="Arial"/>
        <w:b/>
        <w:noProof/>
        <w:sz w:val="18"/>
        <w:lang w:val="en-US"/>
      </w:rPr>
      <w:t>2</w:t>
    </w:r>
    <w:r w:rsidRPr="00500642">
      <w:rPr>
        <w:rFonts w:cs="Arial"/>
        <w:b/>
        <w:sz w:val="18"/>
        <w:lang w:val="en-US"/>
      </w:rPr>
      <w:fldChar w:fldCharType="end"/>
    </w:r>
    <w:r>
      <w:rPr>
        <w:rFonts w:cs="Arial"/>
        <w:sz w:val="18"/>
        <w:lang w:val="en-US"/>
      </w:rPr>
      <w:t xml:space="preserve"> of </w:t>
    </w:r>
    <w:r w:rsidRPr="00500642">
      <w:rPr>
        <w:rFonts w:cs="Arial"/>
        <w:b/>
        <w:sz w:val="18"/>
        <w:lang w:val="en-US"/>
      </w:rPr>
      <w:fldChar w:fldCharType="begin"/>
    </w:r>
    <w:r w:rsidRPr="00500642">
      <w:rPr>
        <w:rFonts w:cs="Arial"/>
        <w:b/>
        <w:sz w:val="18"/>
        <w:lang w:val="en-US"/>
      </w:rPr>
      <w:instrText xml:space="preserve"> NUMPAGES </w:instrText>
    </w:r>
    <w:r w:rsidRPr="00500642">
      <w:rPr>
        <w:rFonts w:cs="Arial"/>
        <w:b/>
        <w:sz w:val="18"/>
        <w:lang w:val="en-US"/>
      </w:rPr>
      <w:fldChar w:fldCharType="separate"/>
    </w:r>
    <w:r w:rsidR="00975669">
      <w:rPr>
        <w:rFonts w:cs="Arial"/>
        <w:b/>
        <w:noProof/>
        <w:sz w:val="18"/>
        <w:lang w:val="en-US"/>
      </w:rPr>
      <w:t>2</w:t>
    </w:r>
    <w:r w:rsidRPr="00500642">
      <w:rPr>
        <w:rFonts w:cs="Arial"/>
        <w:b/>
        <w:sz w:val="18"/>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31831"/>
      <w:docPartObj>
        <w:docPartGallery w:val="Page Numbers (Bottom of Page)"/>
        <w:docPartUnique/>
      </w:docPartObj>
    </w:sdtPr>
    <w:sdtEndPr>
      <w:rPr>
        <w:noProof/>
      </w:rPr>
    </w:sdtEndPr>
    <w:sdtContent>
      <w:p w:rsidR="00D94485" w:rsidRDefault="00D94485">
        <w:pPr>
          <w:pStyle w:val="Footer"/>
          <w:jc w:val="center"/>
        </w:pPr>
        <w:r>
          <w:fldChar w:fldCharType="begin"/>
        </w:r>
        <w:r>
          <w:instrText xml:space="preserve"> PAGE   \* MERGEFORMAT </w:instrText>
        </w:r>
        <w:r>
          <w:fldChar w:fldCharType="separate"/>
        </w:r>
        <w:r w:rsidR="00975669">
          <w:rPr>
            <w:noProof/>
          </w:rPr>
          <w:t>1</w:t>
        </w:r>
        <w:r>
          <w:rPr>
            <w:noProof/>
          </w:rPr>
          <w:fldChar w:fldCharType="end"/>
        </w:r>
      </w:p>
    </w:sdtContent>
  </w:sdt>
  <w:p w:rsidR="007D2E87" w:rsidRDefault="00975669" w:rsidP="00500642">
    <w:pPr>
      <w:pStyle w:val="Footer"/>
      <w:tabs>
        <w:tab w:val="clear" w:pos="8640"/>
        <w:tab w:val="right" w:pos="9072"/>
      </w:tabs>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19" w:rsidRDefault="00D94485">
      <w:r>
        <w:separator/>
      </w:r>
    </w:p>
  </w:footnote>
  <w:footnote w:type="continuationSeparator" w:id="0">
    <w:p w:rsidR="00777419" w:rsidRDefault="00D94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85" w:rsidRDefault="00D944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87" w:rsidRDefault="00975669">
    <w:pPr>
      <w:pStyle w:val="Header"/>
      <w:spacing w:after="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87" w:rsidRDefault="007B7CF2" w:rsidP="00CA2D6E">
    <w:pPr>
      <w:pStyle w:val="Title"/>
      <w:ind w:left="2127"/>
      <w:jc w:val="left"/>
    </w:pPr>
    <w:r>
      <w:rPr>
        <w:noProof/>
        <w:sz w:val="38"/>
        <w:lang w:eastAsia="en-AU"/>
      </w:rPr>
      <mc:AlternateContent>
        <mc:Choice Requires="wpg">
          <w:drawing>
            <wp:anchor distT="0" distB="215900" distL="114300" distR="114300" simplePos="0" relativeHeight="251659264" behindDoc="0" locked="0" layoutInCell="1" allowOverlap="0" wp14:anchorId="34FE977E" wp14:editId="2606974A">
              <wp:simplePos x="0" y="0"/>
              <wp:positionH relativeFrom="page">
                <wp:posOffset>756285</wp:posOffset>
              </wp:positionH>
              <wp:positionV relativeFrom="page">
                <wp:posOffset>431800</wp:posOffset>
              </wp:positionV>
              <wp:extent cx="5970905" cy="1005205"/>
              <wp:effectExtent l="0" t="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1005205"/>
                        <a:chOff x="1232" y="584"/>
                        <a:chExt cx="9403" cy="1583"/>
                      </a:xfrm>
                    </wpg:grpSpPr>
                    <wps:wsp>
                      <wps:cNvPr id="2" name="Text Box 2"/>
                      <wps:cNvSpPr txBox="1">
                        <a:spLocks noChangeArrowheads="1"/>
                      </wps:cNvSpPr>
                      <wps:spPr bwMode="auto">
                        <a:xfrm>
                          <a:off x="1232" y="584"/>
                          <a:ext cx="2020"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E87" w:rsidRDefault="007B7CF2">
                            <w:r>
                              <w:rPr>
                                <w:noProof/>
                                <w:lang w:eastAsia="en-AU"/>
                              </w:rPr>
                              <w:drawing>
                                <wp:inline distT="0" distB="0" distL="0" distR="0" wp14:anchorId="3049382A" wp14:editId="03FC6CC4">
                                  <wp:extent cx="1194522" cy="8280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4522" cy="82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3456" y="593"/>
                          <a:ext cx="7179" cy="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A0" w:firstRow="1" w:lastRow="0" w:firstColumn="1" w:lastColumn="0" w:noHBand="0" w:noVBand="0"/>
                            </w:tblPr>
                            <w:tblGrid>
                              <w:gridCol w:w="6891"/>
                            </w:tblGrid>
                            <w:tr w:rsidR="007D2E87" w:rsidTr="00687ECA">
                              <w:trPr>
                                <w:cantSplit/>
                                <w:trHeight w:hRule="exact" w:val="1418"/>
                              </w:trPr>
                              <w:tc>
                                <w:tcPr>
                                  <w:tcW w:w="7054" w:type="dxa"/>
                                  <w:vAlign w:val="center"/>
                                </w:tcPr>
                                <w:p w:rsidR="007D2E87" w:rsidRPr="00687ECA" w:rsidRDefault="007B7CF2">
                                  <w:pPr>
                                    <w:rPr>
                                      <w:rFonts w:ascii="Franklin Gothic Heavy" w:hAnsi="Franklin Gothic Heavy"/>
                                      <w:sz w:val="28"/>
                                      <w:szCs w:val="28"/>
                                    </w:rPr>
                                  </w:pPr>
                                  <w:r w:rsidRPr="00687ECA">
                                    <w:rPr>
                                      <w:rFonts w:ascii="Franklin Gothic Heavy" w:hAnsi="Franklin Gothic Heavy"/>
                                      <w:sz w:val="28"/>
                                      <w:szCs w:val="28"/>
                                    </w:rPr>
                                    <w:t>Position Description</w:t>
                                  </w:r>
                                </w:p>
                                <w:p w:rsidR="007D2E87" w:rsidRPr="00687ECA" w:rsidRDefault="007B7CF2" w:rsidP="00687ECA">
                                  <w:pPr>
                                    <w:pStyle w:val="Heading1"/>
                                    <w:spacing w:line="520" w:lineRule="exact"/>
                                    <w:rPr>
                                      <w:sz w:val="48"/>
                                      <w:szCs w:val="48"/>
                                    </w:rPr>
                                  </w:pPr>
                                  <w:r>
                                    <w:rPr>
                                      <w:rFonts w:ascii="Franklin Gothic Heavy" w:hAnsi="Franklin Gothic Heavy"/>
                                      <w:sz w:val="48"/>
                                      <w:szCs w:val="48"/>
                                    </w:rPr>
                                    <w:t>Lawye</w:t>
                                  </w:r>
                                  <w:r w:rsidRPr="00687ECA">
                                    <w:rPr>
                                      <w:rFonts w:ascii="Franklin Gothic Heavy" w:hAnsi="Franklin Gothic Heavy"/>
                                      <w:sz w:val="48"/>
                                      <w:szCs w:val="48"/>
                                    </w:rPr>
                                    <w:t>r</w:t>
                                  </w:r>
                                </w:p>
                              </w:tc>
                            </w:tr>
                          </w:tbl>
                          <w:p w:rsidR="007D2E87" w:rsidRDefault="00975669" w:rsidP="00CA2D6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E977E" id="Group 4" o:spid="_x0000_s1026" style="position:absolute;left:0;text-align:left;margin-left:59.55pt;margin-top:34pt;width:470.15pt;height:79.15pt;z-index:251659264;mso-wrap-distance-bottom:17pt;mso-position-horizontal-relative:page;mso-position-vertical-relative:page" coordorigin="1232,584" coordsize="9403,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" o:allowoverlap="f">
              <v:shapetype id="_x0000_t202" coordsize="21600,21600" o:spt="202" path="m,l,21600r21600,l21600,xe">
                <v:stroke joinstyle="miter"/>
                <v:path gradientshapeok="t" o:connecttype="rect"/>
              </v:shapetype>
              <v:shape id="Text Box 2" o:spid="_x0000_s1027" type="#_x0000_t202" style="position:absolute;left:1232;top:584;width:2020;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D2E87" w:rsidRDefault="007B7CF2">
                      <w:r>
                        <w:rPr>
                          <w:noProof/>
                          <w:lang w:eastAsia="en-AU"/>
                        </w:rPr>
                        <w:drawing>
                          <wp:inline distT="0" distB="0" distL="0" distR="0" wp14:anchorId="3049382A" wp14:editId="03FC6CC4">
                            <wp:extent cx="1194522" cy="8280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4522" cy="828000"/>
                                    </a:xfrm>
                                    <a:prstGeom prst="rect">
                                      <a:avLst/>
                                    </a:prstGeom>
                                    <a:noFill/>
                                    <a:ln>
                                      <a:noFill/>
                                    </a:ln>
                                  </pic:spPr>
                                </pic:pic>
                              </a:graphicData>
                            </a:graphic>
                          </wp:inline>
                        </w:drawing>
                      </w:r>
                    </w:p>
                  </w:txbxContent>
                </v:textbox>
              </v:shape>
              <v:shape id="Text Box 3" o:spid="_x0000_s1028" type="#_x0000_t202" style="position:absolute;left:3456;top:593;width:7179;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tbl>
                      <w:tblPr>
                        <w:tblW w:w="0" w:type="auto"/>
                        <w:tblLook w:val="00A0" w:firstRow="1" w:lastRow="0" w:firstColumn="1" w:lastColumn="0" w:noHBand="0" w:noVBand="0"/>
                      </w:tblPr>
                      <w:tblGrid>
                        <w:gridCol w:w="6891"/>
                      </w:tblGrid>
                      <w:tr w:rsidR="007D2E87" w:rsidTr="00687ECA">
                        <w:trPr>
                          <w:cantSplit/>
                          <w:trHeight w:hRule="exact" w:val="1418"/>
                        </w:trPr>
                        <w:tc>
                          <w:tcPr>
                            <w:tcW w:w="7054" w:type="dxa"/>
                            <w:vAlign w:val="center"/>
                          </w:tcPr>
                          <w:p w:rsidR="007D2E87" w:rsidRPr="00687ECA" w:rsidRDefault="007B7CF2">
                            <w:pPr>
                              <w:rPr>
                                <w:rFonts w:ascii="Franklin Gothic Heavy" w:hAnsi="Franklin Gothic Heavy"/>
                                <w:sz w:val="28"/>
                                <w:szCs w:val="28"/>
                              </w:rPr>
                            </w:pPr>
                            <w:r w:rsidRPr="00687ECA">
                              <w:rPr>
                                <w:rFonts w:ascii="Franklin Gothic Heavy" w:hAnsi="Franklin Gothic Heavy"/>
                                <w:sz w:val="28"/>
                                <w:szCs w:val="28"/>
                              </w:rPr>
                              <w:t>Position Description</w:t>
                            </w:r>
                          </w:p>
                          <w:p w:rsidR="007D2E87" w:rsidRPr="00687ECA" w:rsidRDefault="007B7CF2" w:rsidP="00687ECA">
                            <w:pPr>
                              <w:pStyle w:val="Heading1"/>
                              <w:spacing w:line="520" w:lineRule="exact"/>
                              <w:rPr>
                                <w:sz w:val="48"/>
                                <w:szCs w:val="48"/>
                              </w:rPr>
                            </w:pPr>
                            <w:r>
                              <w:rPr>
                                <w:rFonts w:ascii="Franklin Gothic Heavy" w:hAnsi="Franklin Gothic Heavy"/>
                                <w:sz w:val="48"/>
                                <w:szCs w:val="48"/>
                              </w:rPr>
                              <w:t>Lawye</w:t>
                            </w:r>
                            <w:r w:rsidRPr="00687ECA">
                              <w:rPr>
                                <w:rFonts w:ascii="Franklin Gothic Heavy" w:hAnsi="Franklin Gothic Heavy"/>
                                <w:sz w:val="48"/>
                                <w:szCs w:val="48"/>
                              </w:rPr>
                              <w:t>r</w:t>
                            </w:r>
                          </w:p>
                        </w:tc>
                      </w:tr>
                    </w:tbl>
                    <w:p w:rsidR="007D2E87" w:rsidRDefault="00975669" w:rsidP="00CA2D6E"/>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A9"/>
    <w:multiLevelType w:val="hybridMultilevel"/>
    <w:tmpl w:val="59A0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52ECB"/>
    <w:multiLevelType w:val="hybridMultilevel"/>
    <w:tmpl w:val="9E1626A4"/>
    <w:lvl w:ilvl="0" w:tplc="47C49A96">
      <w:start w:val="1"/>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325C7"/>
    <w:multiLevelType w:val="hybridMultilevel"/>
    <w:tmpl w:val="D63679A0"/>
    <w:lvl w:ilvl="0" w:tplc="4140A8CA">
      <w:start w:val="1"/>
      <w:numFmt w:val="bullet"/>
      <w:lvlText w:val="&gt;"/>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A3287D"/>
    <w:multiLevelType w:val="hybridMultilevel"/>
    <w:tmpl w:val="0464AFEC"/>
    <w:lvl w:ilvl="0" w:tplc="CAD49CAE">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D083ED5"/>
    <w:multiLevelType w:val="hybridMultilevel"/>
    <w:tmpl w:val="495E137A"/>
    <w:lvl w:ilvl="0" w:tplc="4140A8CA">
      <w:start w:val="1"/>
      <w:numFmt w:val="bullet"/>
      <w:lvlText w:val="&gt;"/>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4C6470A"/>
    <w:multiLevelType w:val="hybridMultilevel"/>
    <w:tmpl w:val="FD728DA6"/>
    <w:lvl w:ilvl="0" w:tplc="CAD49CAE">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48E4F57"/>
    <w:multiLevelType w:val="hybridMultilevel"/>
    <w:tmpl w:val="10D287B2"/>
    <w:lvl w:ilvl="0" w:tplc="4140A8CA">
      <w:start w:val="1"/>
      <w:numFmt w:val="bullet"/>
      <w:lvlText w:val="&gt;"/>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7"/>
    <w:rsid w:val="00033A6A"/>
    <w:rsid w:val="00777419"/>
    <w:rsid w:val="007B7CF2"/>
    <w:rsid w:val="00975669"/>
    <w:rsid w:val="00D56727"/>
    <w:rsid w:val="00D94485"/>
    <w:rsid w:val="00DF38F4"/>
    <w:rsid w:val="00EA6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2963"/>
  <w15:chartTrackingRefBased/>
  <w15:docId w15:val="{C4147ECE-A19F-42F9-8909-00EF4F90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C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A69C7"/>
    <w:pPr>
      <w:keepNext/>
      <w:outlineLvl w:val="0"/>
    </w:pPr>
    <w:rPr>
      <w:rFonts w:ascii="Franklin Gothic Demi Cond" w:hAnsi="Franklin Gothic Demi Cond"/>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C7"/>
    <w:rPr>
      <w:rFonts w:ascii="Franklin Gothic Demi Cond" w:eastAsia="Times New Roman" w:hAnsi="Franklin Gothic Demi Cond" w:cs="Times New Roman"/>
      <w:sz w:val="38"/>
      <w:szCs w:val="20"/>
    </w:rPr>
  </w:style>
  <w:style w:type="paragraph" w:styleId="Header">
    <w:name w:val="header"/>
    <w:basedOn w:val="Normal"/>
    <w:link w:val="HeaderChar"/>
    <w:rsid w:val="00EA69C7"/>
    <w:pPr>
      <w:tabs>
        <w:tab w:val="center" w:pos="4320"/>
        <w:tab w:val="right" w:pos="8640"/>
      </w:tabs>
    </w:pPr>
  </w:style>
  <w:style w:type="character" w:customStyle="1" w:styleId="HeaderChar">
    <w:name w:val="Header Char"/>
    <w:basedOn w:val="DefaultParagraphFont"/>
    <w:link w:val="Header"/>
    <w:rsid w:val="00EA69C7"/>
    <w:rPr>
      <w:rFonts w:ascii="Arial" w:eastAsia="Times New Roman" w:hAnsi="Arial" w:cs="Times New Roman"/>
      <w:sz w:val="20"/>
      <w:szCs w:val="20"/>
    </w:rPr>
  </w:style>
  <w:style w:type="paragraph" w:styleId="Footer">
    <w:name w:val="footer"/>
    <w:basedOn w:val="Normal"/>
    <w:link w:val="FooterChar"/>
    <w:uiPriority w:val="99"/>
    <w:rsid w:val="00EA69C7"/>
    <w:pPr>
      <w:tabs>
        <w:tab w:val="center" w:pos="4320"/>
        <w:tab w:val="right" w:pos="8640"/>
      </w:tabs>
    </w:pPr>
  </w:style>
  <w:style w:type="character" w:customStyle="1" w:styleId="FooterChar">
    <w:name w:val="Footer Char"/>
    <w:basedOn w:val="DefaultParagraphFont"/>
    <w:link w:val="Footer"/>
    <w:uiPriority w:val="99"/>
    <w:rsid w:val="00EA69C7"/>
    <w:rPr>
      <w:rFonts w:ascii="Arial" w:eastAsia="Times New Roman" w:hAnsi="Arial" w:cs="Times New Roman"/>
      <w:sz w:val="20"/>
      <w:szCs w:val="20"/>
    </w:rPr>
  </w:style>
  <w:style w:type="paragraph" w:styleId="Title">
    <w:name w:val="Title"/>
    <w:basedOn w:val="Normal"/>
    <w:link w:val="TitleChar"/>
    <w:qFormat/>
    <w:rsid w:val="00EA69C7"/>
    <w:pPr>
      <w:jc w:val="center"/>
    </w:pPr>
    <w:rPr>
      <w:rFonts w:ascii="Impact" w:hAnsi="Impact"/>
      <w:sz w:val="28"/>
    </w:rPr>
  </w:style>
  <w:style w:type="character" w:customStyle="1" w:styleId="TitleChar">
    <w:name w:val="Title Char"/>
    <w:basedOn w:val="DefaultParagraphFont"/>
    <w:link w:val="Title"/>
    <w:rsid w:val="00EA69C7"/>
    <w:rPr>
      <w:rFonts w:ascii="Impact" w:eastAsia="Times New Roman" w:hAnsi="Impact" w:cs="Times New Roman"/>
      <w:sz w:val="28"/>
      <w:szCs w:val="20"/>
    </w:rPr>
  </w:style>
  <w:style w:type="paragraph" w:styleId="ListParagraph">
    <w:name w:val="List Paragraph"/>
    <w:basedOn w:val="Normal"/>
    <w:uiPriority w:val="34"/>
    <w:qFormat/>
    <w:rsid w:val="007B7CF2"/>
    <w:pPr>
      <w:ind w:left="720"/>
      <w:contextualSpacing/>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Dickson</dc:creator>
  <cp:keywords/>
  <dc:description/>
  <cp:lastModifiedBy>Jennifer Beveridge</cp:lastModifiedBy>
  <cp:revision>2</cp:revision>
  <dcterms:created xsi:type="dcterms:W3CDTF">2019-11-25T00:41:00Z</dcterms:created>
  <dcterms:modified xsi:type="dcterms:W3CDTF">2019-11-25T00:41:00Z</dcterms:modified>
</cp:coreProperties>
</file>