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8A578B">
        <w:rPr>
          <w:rFonts w:ascii="Arial" w:hAnsi="Arial" w:cs="Arial"/>
          <w:b/>
          <w:bCs/>
          <w:sz w:val="22"/>
          <w:szCs w:val="22"/>
          <w:lang w:val="en-US"/>
        </w:rPr>
        <w:t>ABOUT MOIRA</w:t>
      </w:r>
    </w:p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8A578B">
        <w:rPr>
          <w:rFonts w:ascii="Arial" w:hAnsi="Arial" w:cs="Arial"/>
          <w:bCs/>
          <w:color w:val="333333"/>
          <w:sz w:val="22"/>
          <w:szCs w:val="22"/>
        </w:rPr>
        <w:t xml:space="preserve">MOIRA is a not-for-profit incorporated association providing a range of support services for people living with disabilities and youths experiencing disadvantage, as well as their families and carers, in Melbourne and throughout Victoria. </w:t>
      </w:r>
    </w:p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8A578B">
        <w:rPr>
          <w:rFonts w:ascii="Arial" w:hAnsi="Arial" w:cs="Arial"/>
          <w:bCs/>
          <w:color w:val="333333"/>
          <w:sz w:val="22"/>
          <w:szCs w:val="22"/>
        </w:rPr>
        <w:t>MOIRA is a child safe organisation that promotes the safety, participation and empowerment of children and young people, including those living with a disability.</w:t>
      </w:r>
    </w:p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830335" w:rsidRPr="008A578B" w:rsidRDefault="00830335" w:rsidP="0083033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578B">
        <w:rPr>
          <w:rFonts w:ascii="Arial" w:hAnsi="Arial" w:cs="Arial"/>
          <w:b/>
          <w:bCs/>
          <w:sz w:val="22"/>
          <w:szCs w:val="22"/>
        </w:rPr>
        <w:t xml:space="preserve">OUR VISION </w:t>
      </w:r>
    </w:p>
    <w:p w:rsidR="00830335" w:rsidRPr="008A578B" w:rsidRDefault="00830335" w:rsidP="00830335">
      <w:pPr>
        <w:jc w:val="both"/>
        <w:rPr>
          <w:rFonts w:ascii="Arial" w:hAnsi="Arial" w:cs="Arial"/>
          <w:bCs/>
          <w:sz w:val="22"/>
          <w:szCs w:val="22"/>
        </w:rPr>
      </w:pPr>
    </w:p>
    <w:p w:rsidR="00830335" w:rsidRDefault="00830335" w:rsidP="00830335">
      <w:pPr>
        <w:jc w:val="both"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 xml:space="preserve">Our vision is </w:t>
      </w:r>
      <w:r w:rsidRPr="004E224B">
        <w:rPr>
          <w:rFonts w:ascii="Arial" w:hAnsi="Arial" w:cs="Arial"/>
          <w:b/>
          <w:bCs/>
          <w:sz w:val="22"/>
          <w:szCs w:val="22"/>
        </w:rPr>
        <w:t>to enable all pe</w:t>
      </w:r>
      <w:r>
        <w:rPr>
          <w:rFonts w:ascii="Arial" w:hAnsi="Arial" w:cs="Arial"/>
          <w:b/>
          <w:bCs/>
          <w:sz w:val="22"/>
          <w:szCs w:val="22"/>
        </w:rPr>
        <w:t>rsons</w:t>
      </w:r>
      <w:r w:rsidRPr="008A578B">
        <w:rPr>
          <w:rFonts w:ascii="Arial" w:hAnsi="Arial" w:cs="Arial"/>
          <w:bCs/>
          <w:sz w:val="22"/>
          <w:szCs w:val="22"/>
        </w:rPr>
        <w:t xml:space="preserve">, regardless of ability and circumstance, </w:t>
      </w:r>
      <w:r w:rsidRPr="004E224B">
        <w:rPr>
          <w:rFonts w:ascii="Arial" w:hAnsi="Arial" w:cs="Arial"/>
          <w:b/>
          <w:bCs/>
          <w:sz w:val="22"/>
          <w:szCs w:val="22"/>
        </w:rPr>
        <w:t>to live independent, fulfilling lives</w:t>
      </w:r>
      <w:r w:rsidRPr="008A57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with and </w:t>
      </w:r>
      <w:r w:rsidRPr="008A578B">
        <w:rPr>
          <w:rFonts w:ascii="Arial" w:hAnsi="Arial" w:cs="Arial"/>
          <w:bCs/>
          <w:sz w:val="22"/>
          <w:szCs w:val="22"/>
        </w:rPr>
        <w:t xml:space="preserve">within their chosen community. </w:t>
      </w:r>
    </w:p>
    <w:p w:rsidR="00830335" w:rsidRDefault="00830335" w:rsidP="00830335">
      <w:pPr>
        <w:jc w:val="both"/>
        <w:rPr>
          <w:rFonts w:ascii="Arial" w:hAnsi="Arial" w:cs="Arial"/>
          <w:bCs/>
          <w:sz w:val="22"/>
          <w:szCs w:val="22"/>
        </w:rPr>
      </w:pPr>
    </w:p>
    <w:p w:rsidR="00830335" w:rsidRPr="008A578B" w:rsidRDefault="00830335" w:rsidP="0083033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8A578B">
        <w:rPr>
          <w:rFonts w:ascii="Arial" w:hAnsi="Arial" w:cs="Arial"/>
          <w:bCs/>
          <w:sz w:val="22"/>
          <w:szCs w:val="22"/>
        </w:rPr>
        <w:t xml:space="preserve">o help us realise our vision we are guided by our four values.  </w:t>
      </w:r>
    </w:p>
    <w:p w:rsidR="00830335" w:rsidRPr="008A578B" w:rsidRDefault="00830335" w:rsidP="00830335">
      <w:pPr>
        <w:jc w:val="both"/>
        <w:rPr>
          <w:rFonts w:ascii="Arial" w:hAnsi="Arial" w:cs="Arial"/>
          <w:bCs/>
          <w:sz w:val="22"/>
          <w:szCs w:val="22"/>
        </w:rPr>
      </w:pPr>
    </w:p>
    <w:p w:rsidR="00830335" w:rsidRPr="008A578B" w:rsidRDefault="00830335" w:rsidP="008303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8A578B">
        <w:rPr>
          <w:rFonts w:ascii="Arial" w:hAnsi="Arial" w:cs="Arial"/>
          <w:b/>
          <w:bCs/>
          <w:sz w:val="22"/>
          <w:szCs w:val="22"/>
          <w:lang w:val="en-US"/>
        </w:rPr>
        <w:t>OUR VALUES</w:t>
      </w:r>
    </w:p>
    <w:p w:rsidR="00830335" w:rsidRPr="008A578B" w:rsidRDefault="00830335" w:rsidP="00830335">
      <w:pPr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830335" w:rsidRPr="004E224B" w:rsidRDefault="00830335" w:rsidP="00830335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E224B">
        <w:rPr>
          <w:rFonts w:ascii="Arial" w:hAnsi="Arial" w:cs="Arial"/>
          <w:sz w:val="22"/>
          <w:szCs w:val="22"/>
        </w:rPr>
        <w:t xml:space="preserve">providing outcomes-based services that customers find </w:t>
      </w:r>
      <w:r w:rsidRPr="004E224B">
        <w:rPr>
          <w:rFonts w:ascii="Arial" w:hAnsi="Arial" w:cs="Arial"/>
          <w:sz w:val="22"/>
          <w:szCs w:val="22"/>
          <w:highlight w:val="yellow"/>
        </w:rPr>
        <w:t>valuable</w:t>
      </w:r>
    </w:p>
    <w:p w:rsidR="00830335" w:rsidRPr="004E224B" w:rsidRDefault="00830335" w:rsidP="00830335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E224B">
        <w:rPr>
          <w:rFonts w:ascii="Arial" w:hAnsi="Arial" w:cs="Arial"/>
          <w:sz w:val="22"/>
          <w:szCs w:val="22"/>
        </w:rPr>
        <w:t xml:space="preserve">having a </w:t>
      </w:r>
      <w:r w:rsidRPr="004E224B">
        <w:rPr>
          <w:rFonts w:ascii="Arial" w:hAnsi="Arial" w:cs="Arial"/>
          <w:sz w:val="22"/>
          <w:szCs w:val="22"/>
          <w:highlight w:val="yellow"/>
        </w:rPr>
        <w:t>trustworthy, person-centred</w:t>
      </w:r>
      <w:r w:rsidRPr="004E224B">
        <w:rPr>
          <w:rFonts w:ascii="Arial" w:hAnsi="Arial" w:cs="Arial"/>
          <w:sz w:val="22"/>
          <w:szCs w:val="22"/>
        </w:rPr>
        <w:t xml:space="preserve"> approach to service development and delivery</w:t>
      </w:r>
    </w:p>
    <w:p w:rsidR="00830335" w:rsidRPr="004E224B" w:rsidRDefault="00830335" w:rsidP="00830335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E224B">
        <w:rPr>
          <w:rFonts w:ascii="Arial" w:hAnsi="Arial" w:cs="Arial"/>
          <w:sz w:val="22"/>
          <w:szCs w:val="22"/>
        </w:rPr>
        <w:t xml:space="preserve">being </w:t>
      </w:r>
      <w:r w:rsidRPr="004E224B">
        <w:rPr>
          <w:rFonts w:ascii="Arial" w:hAnsi="Arial" w:cs="Arial"/>
          <w:sz w:val="22"/>
          <w:szCs w:val="22"/>
          <w:highlight w:val="yellow"/>
        </w:rPr>
        <w:t>engaging and dignified</w:t>
      </w:r>
      <w:r w:rsidRPr="004E224B">
        <w:rPr>
          <w:rFonts w:ascii="Arial" w:hAnsi="Arial" w:cs="Arial"/>
          <w:sz w:val="22"/>
          <w:szCs w:val="22"/>
        </w:rPr>
        <w:t xml:space="preserve"> in our dealings with all persons and organisations</w:t>
      </w:r>
    </w:p>
    <w:p w:rsidR="00830335" w:rsidRPr="004E224B" w:rsidRDefault="00830335" w:rsidP="00830335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E224B">
        <w:rPr>
          <w:rFonts w:ascii="Arial" w:hAnsi="Arial" w:cs="Arial"/>
          <w:sz w:val="22"/>
          <w:szCs w:val="22"/>
        </w:rPr>
        <w:t xml:space="preserve">taking every opportunity to </w:t>
      </w:r>
      <w:r w:rsidRPr="004E224B">
        <w:rPr>
          <w:rFonts w:ascii="Arial" w:hAnsi="Arial" w:cs="Arial"/>
          <w:sz w:val="22"/>
          <w:szCs w:val="22"/>
          <w:highlight w:val="yellow"/>
        </w:rPr>
        <w:t>learn from our customers</w:t>
      </w:r>
      <w:r>
        <w:rPr>
          <w:rFonts w:ascii="Arial" w:hAnsi="Arial" w:cs="Arial"/>
          <w:sz w:val="22"/>
          <w:szCs w:val="22"/>
        </w:rPr>
        <w:t>.</w:t>
      </w:r>
    </w:p>
    <w:p w:rsidR="00830335" w:rsidRPr="008A578B" w:rsidRDefault="00830335" w:rsidP="0083033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578B">
        <w:rPr>
          <w:rFonts w:ascii="Arial" w:hAnsi="Arial" w:cs="Arial"/>
          <w:b/>
          <w:bCs/>
          <w:sz w:val="22"/>
          <w:szCs w:val="22"/>
        </w:rPr>
        <w:t>OUR CULTURE</w:t>
      </w:r>
    </w:p>
    <w:p w:rsidR="00830335" w:rsidRDefault="00830335" w:rsidP="00830335">
      <w:pPr>
        <w:rPr>
          <w:rFonts w:ascii="Arial" w:hAnsi="Arial" w:cs="Arial"/>
          <w:bCs/>
          <w:sz w:val="22"/>
          <w:szCs w:val="22"/>
        </w:rPr>
      </w:pPr>
    </w:p>
    <w:p w:rsidR="00830335" w:rsidRPr="008A578B" w:rsidRDefault="00830335" w:rsidP="00830335">
      <w:pPr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>At MOIRA we are:</w:t>
      </w:r>
    </w:p>
    <w:p w:rsidR="00830335" w:rsidRPr="008A578B" w:rsidRDefault="00830335" w:rsidP="00830335">
      <w:pPr>
        <w:pStyle w:val="ListParagraph"/>
        <w:numPr>
          <w:ilvl w:val="0"/>
          <w:numId w:val="32"/>
        </w:numPr>
        <w:spacing w:after="160" w:line="252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>committed to great service – we aim to exceed expectations;</w:t>
      </w:r>
    </w:p>
    <w:p w:rsidR="00830335" w:rsidRPr="008A578B" w:rsidRDefault="00830335" w:rsidP="00830335">
      <w:pPr>
        <w:pStyle w:val="ListParagraph"/>
        <w:numPr>
          <w:ilvl w:val="0"/>
          <w:numId w:val="32"/>
        </w:numPr>
        <w:spacing w:after="160" w:line="252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>embracers of innovation – we strive for better every day;</w:t>
      </w:r>
    </w:p>
    <w:p w:rsidR="00830335" w:rsidRPr="008A578B" w:rsidRDefault="00830335" w:rsidP="00830335">
      <w:pPr>
        <w:pStyle w:val="ListParagraph"/>
        <w:numPr>
          <w:ilvl w:val="0"/>
          <w:numId w:val="32"/>
        </w:numPr>
        <w:spacing w:after="160" w:line="252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>professional and engaging – we put people at ease by demonstrating integrity, empathy and flexibility;</w:t>
      </w:r>
    </w:p>
    <w:p w:rsidR="00830335" w:rsidRPr="008A578B" w:rsidRDefault="00830335" w:rsidP="00830335">
      <w:pPr>
        <w:pStyle w:val="ListParagraph"/>
        <w:numPr>
          <w:ilvl w:val="0"/>
          <w:numId w:val="32"/>
        </w:numPr>
        <w:spacing w:after="160" w:line="252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>trusted advisors – we are trusted experts committed to adding value and finishing what we start;</w:t>
      </w:r>
    </w:p>
    <w:p w:rsidR="00830335" w:rsidRPr="008A578B" w:rsidRDefault="00830335" w:rsidP="00830335">
      <w:pPr>
        <w:pStyle w:val="ListParagraph"/>
        <w:numPr>
          <w:ilvl w:val="0"/>
          <w:numId w:val="32"/>
        </w:numPr>
        <w:spacing w:after="160" w:line="252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>dignified and respectful – we treat others the way we enjoy being treated ourselves; and,</w:t>
      </w:r>
    </w:p>
    <w:p w:rsidR="00830335" w:rsidRPr="008A578B" w:rsidRDefault="00830335" w:rsidP="00830335">
      <w:pPr>
        <w:pStyle w:val="ListParagraph"/>
        <w:numPr>
          <w:ilvl w:val="0"/>
          <w:numId w:val="32"/>
        </w:numPr>
        <w:spacing w:after="160" w:line="252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  <w:r w:rsidRPr="008A578B">
        <w:rPr>
          <w:rFonts w:ascii="Arial" w:hAnsi="Arial" w:cs="Arial"/>
          <w:bCs/>
          <w:sz w:val="22"/>
          <w:szCs w:val="22"/>
        </w:rPr>
        <w:t xml:space="preserve">curious – we learn, grow and expand our horizons. </w:t>
      </w:r>
    </w:p>
    <w:p w:rsidR="001A38A6" w:rsidRPr="001A38A6" w:rsidRDefault="001A38A6" w:rsidP="001A38A6">
      <w:pPr>
        <w:rPr>
          <w:rFonts w:ascii="Arial" w:hAnsi="Arial" w:cs="Arial"/>
          <w:bCs/>
          <w:color w:val="333333"/>
          <w:sz w:val="22"/>
          <w:szCs w:val="22"/>
        </w:rPr>
      </w:pPr>
      <w:r w:rsidRPr="001A38A6">
        <w:rPr>
          <w:rFonts w:ascii="Arial" w:hAnsi="Arial" w:cs="Arial"/>
          <w:bCs/>
          <w:color w:val="333333"/>
          <w:sz w:val="22"/>
          <w:szCs w:val="22"/>
        </w:rPr>
        <w:t>This document should be read with MOIRA’s Team Member Annual Declaration (U-F021), MOIRA’s Code of Conduct (U-F003) and the terms of the employment contract</w:t>
      </w:r>
      <w:r w:rsidRPr="001A38A6">
        <w:rPr>
          <w:rFonts w:ascii="Arial" w:hAnsi="Arial" w:cs="Arial"/>
          <w:bCs/>
          <w:color w:val="333333"/>
          <w:sz w:val="22"/>
          <w:szCs w:val="22"/>
        </w:rPr>
        <w:t>.</w:t>
      </w:r>
    </w:p>
    <w:p w:rsidR="001A38A6" w:rsidRDefault="001A38A6" w:rsidP="00D73FCF">
      <w:pPr>
        <w:ind w:hanging="142"/>
        <w:outlineLvl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73FCF" w:rsidRPr="00105698" w:rsidRDefault="00D73FCF" w:rsidP="00D73FCF">
      <w:pPr>
        <w:ind w:hanging="142"/>
        <w:outlineLvl w:val="0"/>
        <w:rPr>
          <w:rFonts w:ascii="Arial" w:hAnsi="Arial" w:cs="Arial"/>
          <w:sz w:val="22"/>
          <w:szCs w:val="22"/>
          <w:lang w:val="en-US"/>
        </w:rPr>
      </w:pPr>
      <w:r w:rsidRPr="00096EB6">
        <w:rPr>
          <w:rFonts w:ascii="Arial" w:hAnsi="Arial" w:cs="Arial"/>
          <w:b/>
          <w:bCs/>
          <w:sz w:val="22"/>
          <w:szCs w:val="22"/>
          <w:lang w:val="en-US"/>
        </w:rPr>
        <w:t>P</w:t>
      </w:r>
      <w:r w:rsidR="003C43DD">
        <w:rPr>
          <w:rFonts w:ascii="Arial" w:hAnsi="Arial" w:cs="Arial"/>
          <w:b/>
          <w:bCs/>
          <w:sz w:val="22"/>
          <w:szCs w:val="22"/>
          <w:lang w:val="en-US"/>
        </w:rPr>
        <w:t>OSITION SUMMARY</w:t>
      </w:r>
      <w:r w:rsidRPr="00096EB6">
        <w:rPr>
          <w:rFonts w:ascii="Arial" w:hAnsi="Arial" w:cs="Arial"/>
          <w:sz w:val="22"/>
          <w:szCs w:val="22"/>
          <w:lang w:val="en-US"/>
        </w:rPr>
        <w:t xml:space="preserve"> </w:t>
      </w:r>
      <w:r w:rsidR="007B18FF" w:rsidRPr="00096EB6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76C56" w:rsidRPr="00105698" w:rsidRDefault="00476C56" w:rsidP="00476C56">
      <w:pPr>
        <w:ind w:left="720"/>
        <w:rPr>
          <w:rFonts w:ascii="Arial" w:hAnsi="Arial" w:cs="Arial"/>
          <w:sz w:val="22"/>
          <w:szCs w:val="22"/>
        </w:rPr>
      </w:pPr>
    </w:p>
    <w:p w:rsidR="00CF703F" w:rsidRPr="00105698" w:rsidRDefault="00A61F45" w:rsidP="00E8389C">
      <w:pPr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Processing Officer is responsible for w</w:t>
      </w:r>
      <w:r w:rsidR="007F000F" w:rsidRPr="00A04A69">
        <w:rPr>
          <w:rFonts w:ascii="Arial" w:hAnsi="Arial" w:cs="Arial"/>
          <w:sz w:val="22"/>
          <w:szCs w:val="22"/>
        </w:rPr>
        <w:t xml:space="preserve">orking with </w:t>
      </w:r>
      <w:r>
        <w:rPr>
          <w:rFonts w:ascii="Arial" w:hAnsi="Arial" w:cs="Arial"/>
          <w:sz w:val="22"/>
          <w:szCs w:val="22"/>
        </w:rPr>
        <w:t>P</w:t>
      </w:r>
      <w:r w:rsidR="007F000F" w:rsidRPr="00A04A69">
        <w:rPr>
          <w:rFonts w:ascii="Arial" w:hAnsi="Arial" w:cs="Arial"/>
          <w:sz w:val="22"/>
          <w:szCs w:val="22"/>
        </w:rPr>
        <w:t>articipants and their families, the National Disability Insurance Agency (NDIA)</w:t>
      </w:r>
      <w:r>
        <w:rPr>
          <w:rFonts w:ascii="Arial" w:hAnsi="Arial" w:cs="Arial"/>
          <w:sz w:val="22"/>
          <w:szCs w:val="22"/>
        </w:rPr>
        <w:t xml:space="preserve"> and with other</w:t>
      </w:r>
      <w:r w:rsidR="007F000F" w:rsidRPr="00A04A69">
        <w:rPr>
          <w:rFonts w:ascii="Arial" w:hAnsi="Arial" w:cs="Arial"/>
          <w:sz w:val="22"/>
          <w:szCs w:val="22"/>
        </w:rPr>
        <w:t xml:space="preserve"> </w:t>
      </w:r>
      <w:r w:rsidR="00E469BF">
        <w:rPr>
          <w:rFonts w:ascii="Arial" w:hAnsi="Arial" w:cs="Arial"/>
          <w:sz w:val="22"/>
          <w:szCs w:val="22"/>
        </w:rPr>
        <w:t>services and S</w:t>
      </w:r>
      <w:r w:rsidR="007F000F" w:rsidRPr="00A04A69">
        <w:rPr>
          <w:rFonts w:ascii="Arial" w:hAnsi="Arial" w:cs="Arial"/>
          <w:sz w:val="22"/>
          <w:szCs w:val="22"/>
        </w:rPr>
        <w:t xml:space="preserve">ervice </w:t>
      </w:r>
      <w:r w:rsidR="00E469BF">
        <w:rPr>
          <w:rFonts w:ascii="Arial" w:hAnsi="Arial" w:cs="Arial"/>
          <w:sz w:val="22"/>
          <w:szCs w:val="22"/>
        </w:rPr>
        <w:t>P</w:t>
      </w:r>
      <w:r w:rsidR="007F000F" w:rsidRPr="00A04A69">
        <w:rPr>
          <w:rFonts w:ascii="Arial" w:hAnsi="Arial" w:cs="Arial"/>
          <w:sz w:val="22"/>
          <w:szCs w:val="22"/>
        </w:rPr>
        <w:t xml:space="preserve">roviders </w:t>
      </w:r>
      <w:r>
        <w:rPr>
          <w:rFonts w:ascii="Arial" w:hAnsi="Arial" w:cs="Arial"/>
          <w:sz w:val="22"/>
          <w:szCs w:val="22"/>
        </w:rPr>
        <w:t xml:space="preserve">in order </w:t>
      </w:r>
      <w:r w:rsidR="007F000F" w:rsidRPr="00A04A69">
        <w:rPr>
          <w:rFonts w:ascii="Arial" w:hAnsi="Arial" w:cs="Arial"/>
          <w:sz w:val="22"/>
          <w:szCs w:val="22"/>
        </w:rPr>
        <w:t xml:space="preserve">to deliver on </w:t>
      </w:r>
      <w:r>
        <w:rPr>
          <w:rFonts w:ascii="Arial" w:hAnsi="Arial" w:cs="Arial"/>
          <w:sz w:val="22"/>
          <w:szCs w:val="22"/>
        </w:rPr>
        <w:t>P</w:t>
      </w:r>
      <w:r w:rsidR="00E469BF">
        <w:rPr>
          <w:rFonts w:ascii="Arial" w:hAnsi="Arial" w:cs="Arial"/>
          <w:sz w:val="22"/>
          <w:szCs w:val="22"/>
        </w:rPr>
        <w:t>lan Management Provision (P</w:t>
      </w:r>
      <w:r>
        <w:rPr>
          <w:rFonts w:ascii="Arial" w:hAnsi="Arial" w:cs="Arial"/>
          <w:sz w:val="22"/>
          <w:szCs w:val="22"/>
        </w:rPr>
        <w:t>MP</w:t>
      </w:r>
      <w:r w:rsidR="00E469BF">
        <w:rPr>
          <w:rFonts w:ascii="Arial" w:hAnsi="Arial" w:cs="Arial"/>
          <w:sz w:val="22"/>
          <w:szCs w:val="22"/>
        </w:rPr>
        <w:t>) business</w:t>
      </w:r>
      <w:r w:rsidR="007F000F" w:rsidRPr="00A04A69">
        <w:rPr>
          <w:rFonts w:ascii="Arial" w:hAnsi="Arial" w:cs="Arial"/>
          <w:sz w:val="22"/>
          <w:szCs w:val="22"/>
        </w:rPr>
        <w:t xml:space="preserve"> objectives</w:t>
      </w:r>
      <w:r w:rsidR="00B41D52" w:rsidRPr="00105698">
        <w:rPr>
          <w:rFonts w:ascii="Arial" w:hAnsi="Arial" w:cs="Arial"/>
          <w:bCs/>
          <w:color w:val="333333"/>
          <w:sz w:val="22"/>
          <w:szCs w:val="22"/>
        </w:rPr>
        <w:t>.</w:t>
      </w:r>
    </w:p>
    <w:p w:rsidR="00CF703F" w:rsidRPr="00105698" w:rsidRDefault="00CF703F" w:rsidP="00B4638E">
      <w:pPr>
        <w:rPr>
          <w:rFonts w:ascii="Arial" w:hAnsi="Arial" w:cs="Arial"/>
          <w:bCs/>
          <w:color w:val="333333"/>
          <w:sz w:val="22"/>
          <w:szCs w:val="22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7229"/>
      </w:tblGrid>
      <w:tr w:rsidR="00A61A99" w:rsidRPr="00105698">
        <w:tc>
          <w:tcPr>
            <w:tcW w:w="2836" w:type="dxa"/>
          </w:tcPr>
          <w:p w:rsidR="00A61A99" w:rsidRPr="00105698" w:rsidRDefault="007B18FF" w:rsidP="00A61A99">
            <w:pPr>
              <w:rPr>
                <w:rFonts w:ascii="Arial" w:hAnsi="Arial" w:cs="Arial"/>
                <w:sz w:val="22"/>
                <w:szCs w:val="22"/>
              </w:rPr>
            </w:pPr>
            <w:r w:rsidRPr="001056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Responsibilities </w:t>
            </w:r>
            <w:r w:rsidR="003E1180" w:rsidRPr="001056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:rsidR="007F000F" w:rsidRPr="00A04A69" w:rsidRDefault="00E469B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Delivers on</w:t>
            </w:r>
            <w:r w:rsidR="007F000F" w:rsidRPr="00A04A69">
              <w:rPr>
                <w:rFonts w:ascii="Arial" w:hAnsi="Arial" w:cs="Arial"/>
                <w:sz w:val="22"/>
                <w:szCs w:val="22"/>
              </w:rPr>
              <w:t xml:space="preserve"> business model goals as communicated by the </w:t>
            </w:r>
            <w:r>
              <w:rPr>
                <w:rFonts w:ascii="Arial" w:hAnsi="Arial" w:cs="Arial"/>
                <w:sz w:val="22"/>
                <w:szCs w:val="22"/>
              </w:rPr>
              <w:t>PMP Team Leader.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Has a clear understanding of MOIRA’s culture as the means by which goals are achieved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Reinforces MOIRA’s vision and values regularly and consistently in interactions with team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 xml:space="preserve">Takes responsibility for their own learning, staying up to date with changes to </w:t>
            </w:r>
            <w:r w:rsidR="00E469BF">
              <w:rPr>
                <w:rFonts w:ascii="Arial" w:hAnsi="Arial" w:cs="Arial"/>
                <w:sz w:val="22"/>
                <w:szCs w:val="22"/>
              </w:rPr>
              <w:t xml:space="preserve">PMP </w:t>
            </w:r>
            <w:r w:rsidRPr="00A04A69">
              <w:rPr>
                <w:rFonts w:ascii="Arial" w:hAnsi="Arial" w:cs="Arial"/>
                <w:sz w:val="22"/>
                <w:szCs w:val="22"/>
              </w:rPr>
              <w:t>program and processes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05698" w:rsidRPr="00105698" w:rsidRDefault="00640578" w:rsidP="00E8389C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05698">
              <w:rPr>
                <w:rFonts w:ascii="Arial" w:hAnsi="Arial" w:cs="Arial"/>
                <w:sz w:val="22"/>
                <w:szCs w:val="22"/>
              </w:rPr>
              <w:t>Actively promotes a safe working environment, to ensure the health and safety of all MOIRA team members.</w:t>
            </w:r>
          </w:p>
        </w:tc>
      </w:tr>
      <w:tr w:rsidR="00837C50" w:rsidRPr="00105698" w:rsidTr="00C63BB1">
        <w:tc>
          <w:tcPr>
            <w:tcW w:w="2836" w:type="dxa"/>
          </w:tcPr>
          <w:p w:rsidR="00837C50" w:rsidRPr="00105698" w:rsidRDefault="003E1180" w:rsidP="00837C50">
            <w:pPr>
              <w:rPr>
                <w:rFonts w:ascii="Arial" w:hAnsi="Arial" w:cs="Arial"/>
                <w:sz w:val="22"/>
                <w:szCs w:val="22"/>
              </w:rPr>
            </w:pPr>
            <w:r w:rsidRPr="001056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Capabilities </w:t>
            </w:r>
          </w:p>
        </w:tc>
        <w:tc>
          <w:tcPr>
            <w:tcW w:w="7229" w:type="dxa"/>
          </w:tcPr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Solid administrative skills, high computer literacy and attention to detail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 xml:space="preserve">Strong customer service focus, able to represent the MOIRA values in each </w:t>
            </w:r>
            <w:r w:rsidR="00E469BF">
              <w:rPr>
                <w:rFonts w:ascii="Arial" w:hAnsi="Arial" w:cs="Arial"/>
                <w:sz w:val="22"/>
                <w:szCs w:val="22"/>
              </w:rPr>
              <w:t>interaction with Participants</w:t>
            </w:r>
            <w:r w:rsidR="00A61F45" w:rsidRPr="00A04A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Adaptable and flexible in approach, consistently models and promotes MOIRA’s cultural values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Is committed to meeting set targets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Self -motivated, with a personal drive for the achievement of results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Good problem solver, able to identify obstacles and resolve issues in a timely manner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77D04" w:rsidRPr="00105698" w:rsidRDefault="007F000F" w:rsidP="00E469B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 xml:space="preserve">Effective communicator, able to build relationships with varied stakeholders including colleagues and </w:t>
            </w:r>
            <w:r w:rsidR="00E469BF">
              <w:rPr>
                <w:rFonts w:ascii="Arial" w:hAnsi="Arial" w:cs="Arial"/>
                <w:sz w:val="22"/>
                <w:szCs w:val="22"/>
              </w:rPr>
              <w:t>Participants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18FF" w:rsidRPr="00105698" w:rsidTr="00A50FB2">
        <w:tc>
          <w:tcPr>
            <w:tcW w:w="2836" w:type="dxa"/>
          </w:tcPr>
          <w:p w:rsidR="007B18FF" w:rsidRPr="00105698" w:rsidRDefault="007B18FF" w:rsidP="00A50FB2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056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Networks</w:t>
            </w:r>
          </w:p>
        </w:tc>
        <w:tc>
          <w:tcPr>
            <w:tcW w:w="7229" w:type="dxa"/>
          </w:tcPr>
          <w:p w:rsidR="007B18FF" w:rsidRDefault="006259F2" w:rsidP="00E469BF">
            <w:pPr>
              <w:rPr>
                <w:rFonts w:ascii="Arial" w:hAnsi="Arial" w:cs="Arial"/>
                <w:sz w:val="22"/>
                <w:szCs w:val="22"/>
              </w:rPr>
            </w:pPr>
            <w:r w:rsidRPr="007E012A">
              <w:rPr>
                <w:rFonts w:ascii="Arial" w:hAnsi="Arial" w:cs="Arial"/>
                <w:sz w:val="22"/>
                <w:szCs w:val="22"/>
              </w:rPr>
              <w:t>Other service providers, funder</w:t>
            </w:r>
            <w:r w:rsidR="00E469BF">
              <w:rPr>
                <w:rFonts w:ascii="Arial" w:hAnsi="Arial" w:cs="Arial"/>
                <w:sz w:val="22"/>
                <w:szCs w:val="22"/>
              </w:rPr>
              <w:t>s</w:t>
            </w:r>
            <w:r w:rsidRPr="007E012A">
              <w:rPr>
                <w:rFonts w:ascii="Arial" w:hAnsi="Arial" w:cs="Arial"/>
                <w:sz w:val="22"/>
                <w:szCs w:val="22"/>
              </w:rPr>
              <w:t xml:space="preserve"> / regulators</w:t>
            </w:r>
            <w:r w:rsidR="00E469B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12A">
              <w:rPr>
                <w:rFonts w:ascii="Arial" w:hAnsi="Arial" w:cs="Arial"/>
                <w:sz w:val="22"/>
                <w:szCs w:val="22"/>
              </w:rPr>
              <w:t xml:space="preserve">business partners and key </w:t>
            </w:r>
            <w:r w:rsidR="00E469BF">
              <w:rPr>
                <w:rFonts w:ascii="Arial" w:hAnsi="Arial" w:cs="Arial"/>
                <w:sz w:val="22"/>
                <w:szCs w:val="22"/>
              </w:rPr>
              <w:t>Participant</w:t>
            </w:r>
            <w:r w:rsidRPr="007E012A">
              <w:rPr>
                <w:rFonts w:ascii="Arial" w:hAnsi="Arial" w:cs="Arial"/>
                <w:sz w:val="22"/>
                <w:szCs w:val="22"/>
              </w:rPr>
              <w:t xml:space="preserve"> representatives</w:t>
            </w:r>
            <w:r w:rsidR="00E469BF">
              <w:rPr>
                <w:rFonts w:ascii="Arial" w:hAnsi="Arial" w:cs="Arial"/>
                <w:sz w:val="22"/>
                <w:szCs w:val="22"/>
              </w:rPr>
              <w:t xml:space="preserve"> and nominees</w:t>
            </w:r>
            <w:r w:rsidRPr="007E01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38A6" w:rsidRPr="00105698" w:rsidRDefault="001A38A6" w:rsidP="00E469B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C251E" w:rsidRPr="00105698" w:rsidTr="00A50FB2">
        <w:tc>
          <w:tcPr>
            <w:tcW w:w="2836" w:type="dxa"/>
          </w:tcPr>
          <w:p w:rsidR="00CC251E" w:rsidRPr="00105698" w:rsidRDefault="003E1180" w:rsidP="00A50FB2">
            <w:pPr>
              <w:rPr>
                <w:rFonts w:ascii="Arial" w:hAnsi="Arial" w:cs="Arial"/>
                <w:sz w:val="22"/>
                <w:szCs w:val="22"/>
              </w:rPr>
            </w:pPr>
            <w:r w:rsidRPr="00105698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7B18FF" w:rsidRPr="001056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Experience </w:t>
            </w:r>
          </w:p>
        </w:tc>
        <w:tc>
          <w:tcPr>
            <w:tcW w:w="7229" w:type="dxa"/>
          </w:tcPr>
          <w:p w:rsidR="007F000F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apability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working with people with disabilities, their families, carers, service providers, support co-ordinators including the NDIS (National Disability Insurance Scheme)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C251E" w:rsidRPr="007F000F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F000F">
              <w:rPr>
                <w:rFonts w:ascii="Arial" w:hAnsi="Arial" w:cs="Arial"/>
                <w:sz w:val="22"/>
                <w:szCs w:val="22"/>
              </w:rPr>
              <w:t xml:space="preserve">Possesses a proven track record of working in a customer service or administrative role. </w:t>
            </w:r>
          </w:p>
        </w:tc>
      </w:tr>
      <w:tr w:rsidR="009A53A3" w:rsidRPr="00105698" w:rsidTr="008002A0">
        <w:tc>
          <w:tcPr>
            <w:tcW w:w="2836" w:type="dxa"/>
          </w:tcPr>
          <w:p w:rsidR="009A53A3" w:rsidRPr="00105698" w:rsidRDefault="003E1180" w:rsidP="008002A0">
            <w:pPr>
              <w:rPr>
                <w:rFonts w:ascii="Arial" w:hAnsi="Arial" w:cs="Arial"/>
                <w:sz w:val="22"/>
                <w:szCs w:val="22"/>
              </w:rPr>
            </w:pPr>
            <w:r w:rsidRPr="00105698">
              <w:rPr>
                <w:rFonts w:ascii="Arial" w:hAnsi="Arial" w:cs="Arial"/>
                <w:b/>
                <w:bCs/>
                <w:sz w:val="22"/>
                <w:szCs w:val="22"/>
              </w:rPr>
              <w:t>Reporting relationships</w:t>
            </w:r>
          </w:p>
        </w:tc>
        <w:tc>
          <w:tcPr>
            <w:tcW w:w="7229" w:type="dxa"/>
          </w:tcPr>
          <w:p w:rsidR="00105698" w:rsidRPr="00105698" w:rsidRDefault="007F000F" w:rsidP="007F000F">
            <w:pPr>
              <w:pStyle w:val="BodyText3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  <w:lang w:val="en-US"/>
              </w:rPr>
              <w:t>The role reports directly to the PMP Team Leader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3E1180" w:rsidRPr="00105698" w:rsidTr="00855F4D">
        <w:tc>
          <w:tcPr>
            <w:tcW w:w="2836" w:type="dxa"/>
          </w:tcPr>
          <w:p w:rsidR="003E1180" w:rsidRPr="00105698" w:rsidRDefault="003E1180" w:rsidP="00855F4D">
            <w:pPr>
              <w:rPr>
                <w:rFonts w:ascii="Arial" w:hAnsi="Arial" w:cs="Arial"/>
                <w:sz w:val="22"/>
                <w:szCs w:val="22"/>
              </w:rPr>
            </w:pPr>
            <w:r w:rsidRPr="001056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Functional responsibilities  </w:t>
            </w:r>
          </w:p>
        </w:tc>
        <w:tc>
          <w:tcPr>
            <w:tcW w:w="7229" w:type="dxa"/>
          </w:tcPr>
          <w:p w:rsidR="007F000F" w:rsidRPr="00A04A69" w:rsidRDefault="008A3228" w:rsidP="007F00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  <w:r w:rsidR="007F000F" w:rsidRPr="00A04A69">
              <w:rPr>
                <w:rFonts w:ascii="Arial" w:hAnsi="Arial" w:cs="Arial"/>
                <w:b/>
                <w:sz w:val="22"/>
                <w:szCs w:val="22"/>
              </w:rPr>
              <w:t xml:space="preserve"> engagement</w:t>
            </w:r>
          </w:p>
          <w:p w:rsidR="007F000F" w:rsidRPr="00A04A69" w:rsidRDefault="00A61F45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Performs g</w:t>
            </w:r>
            <w:r w:rsidR="007F000F" w:rsidRPr="00A04A69">
              <w:rPr>
                <w:rFonts w:ascii="Arial" w:hAnsi="Arial" w:cs="Arial"/>
                <w:sz w:val="22"/>
                <w:szCs w:val="22"/>
              </w:rPr>
              <w:t>eneral phone and administrative duties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Establish</w:t>
            </w:r>
            <w:r w:rsidR="00A61F45">
              <w:rPr>
                <w:rFonts w:ascii="Arial" w:hAnsi="Arial" w:cs="Arial"/>
                <w:sz w:val="22"/>
                <w:szCs w:val="22"/>
              </w:rPr>
              <w:t>es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service bookings within the NDIS portal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Undertake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processing activities i.e. claims, errors, payments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Ascertain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9BF">
              <w:rPr>
                <w:rFonts w:ascii="Arial" w:hAnsi="Arial" w:cs="Arial"/>
                <w:sz w:val="22"/>
                <w:szCs w:val="22"/>
              </w:rPr>
              <w:t>Participant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needs to provide targeted information</w:t>
            </w:r>
            <w:r w:rsidR="00A61F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9BF">
              <w:rPr>
                <w:rFonts w:ascii="Arial" w:hAnsi="Arial" w:cs="Arial"/>
                <w:sz w:val="22"/>
                <w:szCs w:val="22"/>
              </w:rPr>
              <w:t>to</w:t>
            </w:r>
            <w:r w:rsidR="00A61F45">
              <w:rPr>
                <w:rFonts w:ascii="Arial" w:hAnsi="Arial" w:cs="Arial"/>
                <w:sz w:val="22"/>
                <w:szCs w:val="22"/>
              </w:rPr>
              <w:t xml:space="preserve"> them.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Escalate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matters where appropriate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Follow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up enquiries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Act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as an information source for complex </w:t>
            </w:r>
            <w:r w:rsidR="00E469BF">
              <w:rPr>
                <w:rFonts w:ascii="Arial" w:hAnsi="Arial" w:cs="Arial"/>
                <w:sz w:val="22"/>
                <w:szCs w:val="22"/>
              </w:rPr>
              <w:t>Participant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issues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000F" w:rsidRPr="00A04A69" w:rsidRDefault="007F000F" w:rsidP="00E469B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7F000F" w:rsidRPr="00A04A69" w:rsidRDefault="00E469BF" w:rsidP="007F00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  <w:r w:rsidR="007F000F" w:rsidRPr="00A04A69">
              <w:rPr>
                <w:rFonts w:ascii="Arial" w:hAnsi="Arial" w:cs="Arial"/>
                <w:b/>
                <w:sz w:val="22"/>
                <w:szCs w:val="22"/>
              </w:rPr>
              <w:t xml:space="preserve"> transactions 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Process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invoices </w:t>
            </w:r>
            <w:r w:rsidR="00E469BF">
              <w:rPr>
                <w:rFonts w:ascii="Arial" w:hAnsi="Arial" w:cs="Arial"/>
                <w:sz w:val="22"/>
                <w:szCs w:val="22"/>
              </w:rPr>
              <w:t>including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seeking authorisation and coding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7E012A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E012A">
              <w:rPr>
                <w:rFonts w:ascii="Arial" w:hAnsi="Arial" w:cs="Arial"/>
                <w:sz w:val="22"/>
                <w:szCs w:val="22"/>
              </w:rPr>
              <w:t>Provides basi</w:t>
            </w:r>
            <w:r w:rsidR="007E012A" w:rsidRPr="007E012A">
              <w:rPr>
                <w:rFonts w:ascii="Arial" w:hAnsi="Arial" w:cs="Arial"/>
                <w:sz w:val="22"/>
                <w:szCs w:val="22"/>
              </w:rPr>
              <w:t>c</w:t>
            </w:r>
            <w:r w:rsidRPr="007E012A">
              <w:rPr>
                <w:rFonts w:ascii="Arial" w:hAnsi="Arial" w:cs="Arial"/>
                <w:sz w:val="22"/>
                <w:szCs w:val="22"/>
              </w:rPr>
              <w:t xml:space="preserve"> information to </w:t>
            </w:r>
            <w:r w:rsidR="00A61F45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 w:rsidRPr="007E012A">
              <w:rPr>
                <w:rFonts w:ascii="Arial" w:hAnsi="Arial" w:cs="Arial"/>
                <w:sz w:val="22"/>
                <w:szCs w:val="22"/>
              </w:rPr>
              <w:t>providers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000F" w:rsidRPr="00A04A69" w:rsidRDefault="007F000F" w:rsidP="007F000F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adherence to processes surrounding the transactional services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71F80" w:rsidRPr="00105698" w:rsidRDefault="007F000F" w:rsidP="00A61F45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04A69">
              <w:rPr>
                <w:rFonts w:ascii="Arial" w:hAnsi="Arial" w:cs="Arial"/>
                <w:sz w:val="22"/>
                <w:szCs w:val="22"/>
              </w:rPr>
              <w:t>Meet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04A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9BF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A04A69">
              <w:rPr>
                <w:rFonts w:ascii="Arial" w:hAnsi="Arial" w:cs="Arial"/>
                <w:sz w:val="22"/>
                <w:szCs w:val="22"/>
              </w:rPr>
              <w:t>KPI's set by the business</w:t>
            </w:r>
            <w:r w:rsidR="00A61F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E1180" w:rsidRPr="00105698" w:rsidRDefault="003E1180" w:rsidP="009A53A3">
      <w:pPr>
        <w:autoSpaceDE w:val="0"/>
        <w:autoSpaceDN w:val="0"/>
        <w:adjustRightInd w:val="0"/>
        <w:rPr>
          <w:rFonts w:ascii="Arial" w:eastAsia="Calibri" w:hAnsi="Arial" w:cs="Arial"/>
          <w:iCs/>
          <w:sz w:val="22"/>
          <w:szCs w:val="22"/>
          <w:lang w:val="en-US" w:eastAsia="en-AU"/>
        </w:rPr>
      </w:pPr>
    </w:p>
    <w:sectPr w:rsidR="003E1180" w:rsidRPr="00105698">
      <w:headerReference w:type="default" r:id="rId8"/>
      <w:footerReference w:type="default" r:id="rId9"/>
      <w:pgSz w:w="12240" w:h="15840"/>
      <w:pgMar w:top="1259" w:right="1134" w:bottom="1440" w:left="1134" w:header="1440" w:footer="46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28C" w:rsidRDefault="00A0128C">
      <w:r>
        <w:separator/>
      </w:r>
    </w:p>
  </w:endnote>
  <w:endnote w:type="continuationSeparator" w:id="0">
    <w:p w:rsidR="00A0128C" w:rsidRDefault="00A0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4" w:type="dxa"/>
      <w:jc w:val="center"/>
      <w:tblLook w:val="01E0" w:firstRow="1" w:lastRow="1" w:firstColumn="1" w:lastColumn="1" w:noHBand="0" w:noVBand="0"/>
    </w:tblPr>
    <w:tblGrid>
      <w:gridCol w:w="9096"/>
      <w:gridCol w:w="491"/>
      <w:gridCol w:w="9096"/>
      <w:gridCol w:w="222"/>
      <w:gridCol w:w="9096"/>
    </w:tblGrid>
    <w:tr w:rsidR="00BD294B" w:rsidRPr="007942A9" w:rsidTr="00BD294B">
      <w:trPr>
        <w:trHeight w:val="289"/>
        <w:jc w:val="center"/>
      </w:trPr>
      <w:tc>
        <w:tcPr>
          <w:tcW w:w="4876" w:type="dxa"/>
          <w:shd w:val="clear" w:color="auto" w:fill="auto"/>
        </w:tcPr>
        <w:tbl>
          <w:tblPr>
            <w:tblW w:w="8880" w:type="dxa"/>
            <w:jc w:val="center"/>
            <w:tblLook w:val="01E0" w:firstRow="1" w:lastRow="1" w:firstColumn="1" w:lastColumn="1" w:noHBand="0" w:noVBand="0"/>
          </w:tblPr>
          <w:tblGrid>
            <w:gridCol w:w="681"/>
            <w:gridCol w:w="6838"/>
            <w:gridCol w:w="1361"/>
          </w:tblGrid>
          <w:tr w:rsidR="00BD294B" w:rsidRPr="00D6538B" w:rsidTr="00921907">
            <w:trPr>
              <w:trHeight w:val="289"/>
              <w:jc w:val="center"/>
            </w:trPr>
            <w:tc>
              <w:tcPr>
                <w:tcW w:w="681" w:type="dxa"/>
                <w:shd w:val="clear" w:color="auto" w:fill="auto"/>
              </w:tcPr>
              <w:p w:rsidR="00BD294B" w:rsidRPr="00D6538B" w:rsidRDefault="00BD294B" w:rsidP="00BD294B">
                <w:pPr>
                  <w:jc w:val="center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  <w:r w:rsidRPr="00D6538B">
                  <w:rPr>
                    <w:rFonts w:ascii="Century Gothic" w:eastAsia="Times New Roman" w:hAnsi="Century Gothic" w:cs="Arial"/>
                    <w:sz w:val="16"/>
                    <w:szCs w:val="16"/>
                  </w:rPr>
                  <w:fldChar w:fldCharType="begin"/>
                </w:r>
                <w:r w:rsidRPr="00D6538B">
                  <w:rPr>
                    <w:rFonts w:ascii="Century Gothic" w:eastAsia="Times New Roman" w:hAnsi="Century Gothic" w:cs="Arial"/>
                    <w:sz w:val="16"/>
                    <w:szCs w:val="16"/>
                  </w:rPr>
                  <w:instrText xml:space="preserve"> PAGE </w:instrText>
                </w:r>
                <w:r w:rsidRPr="00D6538B">
                  <w:rPr>
                    <w:rFonts w:ascii="Century Gothic" w:eastAsia="Times New Roman" w:hAnsi="Century Gothic" w:cs="Arial"/>
                    <w:sz w:val="16"/>
                    <w:szCs w:val="16"/>
                  </w:rPr>
                  <w:fldChar w:fldCharType="separate"/>
                </w:r>
                <w:r w:rsidR="00AA5E22">
                  <w:rPr>
                    <w:rFonts w:ascii="Century Gothic" w:eastAsia="Times New Roman" w:hAnsi="Century Gothic" w:cs="Arial"/>
                    <w:noProof/>
                    <w:sz w:val="16"/>
                    <w:szCs w:val="16"/>
                  </w:rPr>
                  <w:t>3</w:t>
                </w:r>
                <w:r w:rsidRPr="00D6538B">
                  <w:rPr>
                    <w:rFonts w:ascii="Century Gothic" w:eastAsia="Times New Roman" w:hAnsi="Century Gothic" w:cs="Arial"/>
                    <w:sz w:val="16"/>
                    <w:szCs w:val="16"/>
                  </w:rPr>
                  <w:fldChar w:fldCharType="end"/>
                </w:r>
                <w:r w:rsidRPr="00D6538B">
                  <w:rPr>
                    <w:rFonts w:ascii="Century Gothic" w:eastAsia="Times New Roman" w:hAnsi="Century Gothic" w:cs="Arial"/>
                    <w:sz w:val="16"/>
                    <w:szCs w:val="16"/>
                  </w:rPr>
                  <w:t>\</w:t>
                </w:r>
                <w:r w:rsidRPr="00D6538B">
                  <w:rPr>
                    <w:rStyle w:val="PageNumber"/>
                    <w:rFonts w:ascii="Century Gothic" w:hAnsi="Century Gothic"/>
                    <w:sz w:val="16"/>
                    <w:szCs w:val="16"/>
                  </w:rPr>
                  <w:fldChar w:fldCharType="begin"/>
                </w:r>
                <w:r w:rsidRPr="00D6538B">
                  <w:rPr>
                    <w:rStyle w:val="PageNumber"/>
                    <w:rFonts w:ascii="Century Gothic" w:hAnsi="Century Gothic"/>
                    <w:sz w:val="16"/>
                    <w:szCs w:val="16"/>
                  </w:rPr>
                  <w:instrText xml:space="preserve"> NUMPAGES </w:instrText>
                </w:r>
                <w:r w:rsidRPr="00D6538B">
                  <w:rPr>
                    <w:rStyle w:val="PageNumber"/>
                    <w:rFonts w:ascii="Century Gothic" w:hAnsi="Century Gothic"/>
                    <w:sz w:val="16"/>
                    <w:szCs w:val="16"/>
                  </w:rPr>
                  <w:fldChar w:fldCharType="separate"/>
                </w:r>
                <w:r w:rsidR="00AA5E22">
                  <w:rPr>
                    <w:rStyle w:val="PageNumber"/>
                    <w:rFonts w:ascii="Century Gothic" w:hAnsi="Century Gothic"/>
                    <w:noProof/>
                    <w:sz w:val="16"/>
                    <w:szCs w:val="16"/>
                  </w:rPr>
                  <w:t>3</w:t>
                </w:r>
                <w:r w:rsidRPr="00D6538B">
                  <w:rPr>
                    <w:rStyle w:val="PageNumber"/>
                    <w:rFonts w:ascii="Century Gothic" w:hAnsi="Century Gothic"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6838" w:type="dxa"/>
                <w:shd w:val="clear" w:color="auto" w:fill="auto"/>
              </w:tcPr>
              <w:p w:rsidR="00BD294B" w:rsidRPr="00D6538B" w:rsidRDefault="00BD294B" w:rsidP="00BD294B">
                <w:pPr>
                  <w:jc w:val="center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</w:p>
            </w:tc>
            <w:tc>
              <w:tcPr>
                <w:tcW w:w="1361" w:type="dxa"/>
                <w:shd w:val="clear" w:color="auto" w:fill="auto"/>
              </w:tcPr>
              <w:p w:rsidR="00BD294B" w:rsidRPr="00D6538B" w:rsidRDefault="00BD294B" w:rsidP="00BD294B">
                <w:pPr>
                  <w:jc w:val="right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</w:p>
            </w:tc>
          </w:tr>
        </w:tbl>
        <w:p w:rsidR="00BD294B" w:rsidRDefault="00BD294B" w:rsidP="00BD294B"/>
      </w:tc>
      <w:tc>
        <w:tcPr>
          <w:tcW w:w="236" w:type="dxa"/>
        </w:tcPr>
        <w:p w:rsidR="00BD294B" w:rsidRPr="007942A9" w:rsidRDefault="00BD294B" w:rsidP="00BD294B">
          <w:pPr>
            <w:jc w:val="center"/>
            <w:rPr>
              <w:rFonts w:ascii="Century Gothic" w:eastAsia="Times New Roman" w:hAnsi="Century Gothic" w:cs="Arial"/>
              <w:sz w:val="16"/>
              <w:szCs w:val="16"/>
            </w:rPr>
          </w:pPr>
          <w:r w:rsidRPr="007942A9">
            <w:rPr>
              <w:rFonts w:ascii="Century Gothic" w:eastAsia="Times New Roman" w:hAnsi="Century Gothic" w:cs="Arial"/>
              <w:sz w:val="16"/>
              <w:szCs w:val="16"/>
            </w:rPr>
            <w:fldChar w:fldCharType="begin"/>
          </w:r>
          <w:r w:rsidRPr="007942A9">
            <w:rPr>
              <w:rFonts w:ascii="Century Gothic" w:eastAsia="Times New Roman" w:hAnsi="Century Gothic" w:cs="Arial"/>
              <w:sz w:val="16"/>
              <w:szCs w:val="16"/>
            </w:rPr>
            <w:instrText xml:space="preserve"> PAGE </w:instrText>
          </w:r>
          <w:r w:rsidRPr="007942A9">
            <w:rPr>
              <w:rFonts w:ascii="Century Gothic" w:eastAsia="Times New Roman" w:hAnsi="Century Gothic" w:cs="Arial"/>
              <w:sz w:val="16"/>
              <w:szCs w:val="16"/>
            </w:rPr>
            <w:fldChar w:fldCharType="separate"/>
          </w:r>
          <w:r w:rsidR="00AA5E22">
            <w:rPr>
              <w:rFonts w:ascii="Century Gothic" w:eastAsia="Times New Roman" w:hAnsi="Century Gothic" w:cs="Arial"/>
              <w:noProof/>
              <w:sz w:val="16"/>
              <w:szCs w:val="16"/>
            </w:rPr>
            <w:t>3</w:t>
          </w:r>
          <w:r w:rsidRPr="007942A9">
            <w:rPr>
              <w:rFonts w:ascii="Century Gothic" w:eastAsia="Times New Roman" w:hAnsi="Century Gothic" w:cs="Arial"/>
              <w:sz w:val="16"/>
              <w:szCs w:val="16"/>
            </w:rPr>
            <w:fldChar w:fldCharType="end"/>
          </w:r>
          <w:r w:rsidRPr="007942A9">
            <w:rPr>
              <w:rFonts w:ascii="Century Gothic" w:eastAsia="Times New Roman" w:hAnsi="Century Gothic" w:cs="Arial"/>
              <w:sz w:val="16"/>
              <w:szCs w:val="16"/>
            </w:rPr>
            <w:t>\</w:t>
          </w:r>
          <w:r w:rsidRPr="007942A9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7942A9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7942A9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="00AA5E22">
            <w:rPr>
              <w:rStyle w:val="PageNumber"/>
              <w:rFonts w:ascii="Century Gothic" w:hAnsi="Century Gothic"/>
              <w:noProof/>
              <w:sz w:val="16"/>
              <w:szCs w:val="16"/>
            </w:rPr>
            <w:t>3</w:t>
          </w:r>
          <w:r w:rsidRPr="007942A9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  <w:tc>
        <w:tcPr>
          <w:tcW w:w="236" w:type="dxa"/>
        </w:tcPr>
        <w:tbl>
          <w:tblPr>
            <w:tblW w:w="8880" w:type="dxa"/>
            <w:jc w:val="center"/>
            <w:tblLook w:val="01E0" w:firstRow="1" w:lastRow="1" w:firstColumn="1" w:lastColumn="1" w:noHBand="0" w:noVBand="0"/>
          </w:tblPr>
          <w:tblGrid>
            <w:gridCol w:w="681"/>
            <w:gridCol w:w="6838"/>
            <w:gridCol w:w="1361"/>
          </w:tblGrid>
          <w:tr w:rsidR="00BD294B" w:rsidRPr="007942A9" w:rsidTr="00921907">
            <w:trPr>
              <w:trHeight w:val="289"/>
              <w:jc w:val="center"/>
            </w:trPr>
            <w:tc>
              <w:tcPr>
                <w:tcW w:w="681" w:type="dxa"/>
                <w:shd w:val="clear" w:color="auto" w:fill="auto"/>
              </w:tcPr>
              <w:p w:rsidR="00BD294B" w:rsidRPr="007942A9" w:rsidRDefault="00BD294B" w:rsidP="00BD294B">
                <w:pPr>
                  <w:jc w:val="center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</w:p>
            </w:tc>
            <w:tc>
              <w:tcPr>
                <w:tcW w:w="6838" w:type="dxa"/>
                <w:shd w:val="clear" w:color="auto" w:fill="auto"/>
              </w:tcPr>
              <w:p w:rsidR="00BD294B" w:rsidRPr="007942A9" w:rsidRDefault="00BD294B" w:rsidP="00BD294B">
                <w:pPr>
                  <w:jc w:val="center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</w:p>
            </w:tc>
            <w:tc>
              <w:tcPr>
                <w:tcW w:w="1361" w:type="dxa"/>
                <w:shd w:val="clear" w:color="auto" w:fill="auto"/>
              </w:tcPr>
              <w:p w:rsidR="00BD294B" w:rsidRPr="007942A9" w:rsidRDefault="00BD294B" w:rsidP="00BD294B">
                <w:pPr>
                  <w:jc w:val="right"/>
                  <w:rPr>
                    <w:rFonts w:ascii="Century Gothic" w:eastAsia="Times New Roman" w:hAnsi="Century Gothic" w:cs="Arial"/>
                    <w:snapToGrid w:val="0"/>
                    <w:sz w:val="16"/>
                    <w:szCs w:val="16"/>
                  </w:rPr>
                </w:pPr>
                <w:r>
                  <w:rPr>
                    <w:rFonts w:ascii="Century Gothic" w:eastAsia="Times New Roman" w:hAnsi="Century Gothic" w:cs="Arial"/>
                    <w:snapToGrid w:val="0"/>
                    <w:sz w:val="16"/>
                    <w:szCs w:val="16"/>
                  </w:rPr>
                  <w:t xml:space="preserve">Issue </w:t>
                </w:r>
                <w:r w:rsidR="003C43DD">
                  <w:rPr>
                    <w:rFonts w:ascii="Century Gothic" w:eastAsia="Times New Roman" w:hAnsi="Century Gothic" w:cs="Arial"/>
                    <w:snapToGrid w:val="0"/>
                    <w:sz w:val="16"/>
                    <w:szCs w:val="16"/>
                  </w:rPr>
                  <w:t>1</w:t>
                </w:r>
              </w:p>
              <w:p w:rsidR="00BD294B" w:rsidRPr="007942A9" w:rsidRDefault="00BD294B" w:rsidP="00BD294B">
                <w:pPr>
                  <w:jc w:val="right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  <w:r>
                  <w:rPr>
                    <w:rFonts w:ascii="Century Gothic" w:hAnsi="Century Gothic" w:cs="Arial"/>
                    <w:snapToGrid w:val="0"/>
                    <w:sz w:val="16"/>
                    <w:szCs w:val="16"/>
                  </w:rPr>
                  <w:t>July 18</w:t>
                </w:r>
              </w:p>
            </w:tc>
          </w:tr>
        </w:tbl>
        <w:p w:rsidR="00BD294B" w:rsidRDefault="00BD294B" w:rsidP="00BD294B">
          <w:pPr>
            <w:pStyle w:val="Footer"/>
          </w:pPr>
        </w:p>
        <w:p w:rsidR="00BD294B" w:rsidRPr="007942A9" w:rsidRDefault="00BD294B" w:rsidP="00BD294B">
          <w:pPr>
            <w:jc w:val="center"/>
            <w:rPr>
              <w:rFonts w:ascii="Century Gothic" w:eastAsia="Times New Roman" w:hAnsi="Century Gothic" w:cs="Arial"/>
              <w:sz w:val="16"/>
              <w:szCs w:val="16"/>
            </w:rPr>
          </w:pPr>
        </w:p>
      </w:tc>
      <w:tc>
        <w:tcPr>
          <w:tcW w:w="219" w:type="dxa"/>
          <w:shd w:val="clear" w:color="auto" w:fill="auto"/>
        </w:tcPr>
        <w:p w:rsidR="00BD294B" w:rsidRDefault="00BD294B" w:rsidP="00BD294B"/>
      </w:tc>
      <w:tc>
        <w:tcPr>
          <w:tcW w:w="4877" w:type="dxa"/>
          <w:shd w:val="clear" w:color="auto" w:fill="auto"/>
        </w:tcPr>
        <w:tbl>
          <w:tblPr>
            <w:tblW w:w="8880" w:type="dxa"/>
            <w:jc w:val="center"/>
            <w:tblLook w:val="01E0" w:firstRow="1" w:lastRow="1" w:firstColumn="1" w:lastColumn="1" w:noHBand="0" w:noVBand="0"/>
          </w:tblPr>
          <w:tblGrid>
            <w:gridCol w:w="681"/>
            <w:gridCol w:w="6838"/>
            <w:gridCol w:w="1361"/>
          </w:tblGrid>
          <w:tr w:rsidR="00BD294B" w:rsidRPr="00D6538B" w:rsidTr="00921907">
            <w:trPr>
              <w:trHeight w:val="289"/>
              <w:jc w:val="center"/>
            </w:trPr>
            <w:tc>
              <w:tcPr>
                <w:tcW w:w="681" w:type="dxa"/>
                <w:shd w:val="clear" w:color="auto" w:fill="auto"/>
              </w:tcPr>
              <w:p w:rsidR="00BD294B" w:rsidRPr="00D6538B" w:rsidRDefault="00BD294B" w:rsidP="00BD294B">
                <w:pPr>
                  <w:jc w:val="center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</w:p>
            </w:tc>
            <w:tc>
              <w:tcPr>
                <w:tcW w:w="6838" w:type="dxa"/>
                <w:shd w:val="clear" w:color="auto" w:fill="auto"/>
              </w:tcPr>
              <w:p w:rsidR="00BD294B" w:rsidRPr="00D6538B" w:rsidRDefault="00BD294B" w:rsidP="00BD294B">
                <w:pPr>
                  <w:jc w:val="center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</w:p>
            </w:tc>
            <w:tc>
              <w:tcPr>
                <w:tcW w:w="1361" w:type="dxa"/>
                <w:shd w:val="clear" w:color="auto" w:fill="auto"/>
              </w:tcPr>
              <w:p w:rsidR="00BD294B" w:rsidRPr="00D6538B" w:rsidRDefault="00BD294B" w:rsidP="00BD294B">
                <w:pPr>
                  <w:jc w:val="right"/>
                  <w:rPr>
                    <w:rFonts w:ascii="Century Gothic" w:eastAsia="Times New Roman" w:hAnsi="Century Gothic" w:cs="Arial"/>
                    <w:snapToGrid w:val="0"/>
                    <w:sz w:val="16"/>
                    <w:szCs w:val="16"/>
                  </w:rPr>
                </w:pPr>
                <w:r w:rsidRPr="00D6538B">
                  <w:rPr>
                    <w:rFonts w:ascii="Century Gothic" w:eastAsia="Times New Roman" w:hAnsi="Century Gothic" w:cs="Arial"/>
                    <w:snapToGrid w:val="0"/>
                    <w:sz w:val="16"/>
                    <w:szCs w:val="16"/>
                  </w:rPr>
                  <w:t>Issue 1</w:t>
                </w:r>
              </w:p>
              <w:p w:rsidR="00BD294B" w:rsidRPr="00D6538B" w:rsidRDefault="00BD294B" w:rsidP="00BD294B">
                <w:pPr>
                  <w:jc w:val="right"/>
                  <w:rPr>
                    <w:rFonts w:ascii="Century Gothic" w:eastAsia="Times New Roman" w:hAnsi="Century Gothic" w:cs="Arial"/>
                    <w:sz w:val="16"/>
                    <w:szCs w:val="16"/>
                  </w:rPr>
                </w:pPr>
                <w:r w:rsidRPr="00D6538B">
                  <w:rPr>
                    <w:rFonts w:ascii="Century Gothic" w:hAnsi="Century Gothic" w:cs="Arial"/>
                    <w:snapToGrid w:val="0"/>
                    <w:sz w:val="16"/>
                    <w:szCs w:val="16"/>
                  </w:rPr>
                  <w:t>July 18</w:t>
                </w:r>
              </w:p>
            </w:tc>
          </w:tr>
        </w:tbl>
        <w:p w:rsidR="00BD294B" w:rsidRDefault="00BD294B" w:rsidP="00BD294B"/>
      </w:tc>
    </w:tr>
  </w:tbl>
  <w:p w:rsidR="007942A9" w:rsidRDefault="007942A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28C" w:rsidRDefault="00A0128C">
      <w:r>
        <w:separator/>
      </w:r>
    </w:p>
  </w:footnote>
  <w:footnote w:type="continuationSeparator" w:id="0">
    <w:p w:rsidR="00A0128C" w:rsidRDefault="00A0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99"/>
      <w:gridCol w:w="6901"/>
    </w:tblGrid>
    <w:tr w:rsidR="007942A9" w:rsidRPr="00551E05">
      <w:trPr>
        <w:trHeight w:val="1200"/>
        <w:tblCellSpacing w:w="0" w:type="dxa"/>
      </w:trPr>
      <w:tc>
        <w:tcPr>
          <w:tcW w:w="2999" w:type="dxa"/>
          <w:vAlign w:val="center"/>
        </w:tcPr>
        <w:p w:rsidR="007942A9" w:rsidRPr="002F4946" w:rsidRDefault="00014B88">
          <w:pPr>
            <w:ind w:left="180" w:hanging="1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AU"/>
            </w:rPr>
            <w:drawing>
              <wp:inline distT="0" distB="0" distL="0" distR="0" wp14:anchorId="21263C11" wp14:editId="52DB22D7">
                <wp:extent cx="1762125" cy="89598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1" w:type="dxa"/>
          <w:vAlign w:val="center"/>
        </w:tcPr>
        <w:p w:rsidR="007942A9" w:rsidRDefault="007942A9">
          <w:pPr>
            <w:spacing w:line="220" w:lineRule="atLeast"/>
            <w:rPr>
              <w:rFonts w:ascii="Arial" w:hAnsi="Arial" w:cs="Arial"/>
              <w:color w:val="666666"/>
              <w:sz w:val="18"/>
              <w:szCs w:val="18"/>
            </w:rPr>
          </w:pPr>
        </w:p>
        <w:p w:rsidR="007942A9" w:rsidRPr="00551E05" w:rsidRDefault="007942A9">
          <w:pPr>
            <w:spacing w:line="220" w:lineRule="atLeast"/>
            <w:rPr>
              <w:rFonts w:ascii="Arial" w:hAnsi="Arial" w:cs="Arial"/>
              <w:color w:val="666666"/>
              <w:sz w:val="18"/>
              <w:szCs w:val="18"/>
            </w:rPr>
          </w:pPr>
        </w:p>
      </w:tc>
    </w:tr>
    <w:tr w:rsidR="007942A9" w:rsidRPr="00E779EA">
      <w:trPr>
        <w:cantSplit/>
        <w:tblCellSpacing w:w="0" w:type="dxa"/>
      </w:trPr>
      <w:tc>
        <w:tcPr>
          <w:tcW w:w="9900" w:type="dxa"/>
          <w:gridSpan w:val="2"/>
          <w:tcBorders>
            <w:top w:val="single" w:sz="4" w:space="0" w:color="auto"/>
          </w:tcBorders>
          <w:vAlign w:val="center"/>
        </w:tcPr>
        <w:p w:rsidR="007942A9" w:rsidRPr="00E779EA" w:rsidRDefault="007942A9">
          <w:pPr>
            <w:spacing w:line="220" w:lineRule="atLeast"/>
            <w:rPr>
              <w:rFonts w:ascii="Century Gothic" w:hAnsi="Century Gothic" w:cs="Arial"/>
              <w:b/>
              <w:color w:val="666666"/>
              <w:sz w:val="22"/>
              <w:szCs w:val="22"/>
            </w:rPr>
          </w:pPr>
          <w:r w:rsidRPr="00E779EA">
            <w:rPr>
              <w:rFonts w:ascii="Century Gothic" w:hAnsi="Century Gothic" w:cs="Arial"/>
              <w:b/>
              <w:color w:val="666666"/>
              <w:sz w:val="22"/>
              <w:szCs w:val="22"/>
            </w:rPr>
            <w:t>POSITION DESCRIPTION</w:t>
          </w:r>
        </w:p>
        <w:p w:rsidR="005C6AB9" w:rsidRDefault="005C6AB9">
          <w:pPr>
            <w:spacing w:line="220" w:lineRule="atLeast"/>
            <w:jc w:val="right"/>
            <w:rPr>
              <w:rFonts w:ascii="Century Gothic" w:hAnsi="Century Gothic" w:cs="Arial"/>
              <w:b/>
              <w:color w:val="666666"/>
              <w:sz w:val="22"/>
              <w:szCs w:val="22"/>
            </w:rPr>
          </w:pPr>
          <w:r>
            <w:rPr>
              <w:rFonts w:ascii="Century Gothic" w:hAnsi="Century Gothic" w:cs="Arial"/>
              <w:b/>
              <w:color w:val="666666"/>
              <w:sz w:val="22"/>
              <w:szCs w:val="22"/>
            </w:rPr>
            <w:t xml:space="preserve"> </w:t>
          </w:r>
          <w:r w:rsidR="00105698">
            <w:rPr>
              <w:rFonts w:ascii="Century Gothic" w:hAnsi="Century Gothic" w:cs="Arial"/>
              <w:b/>
              <w:color w:val="666666"/>
              <w:sz w:val="22"/>
              <w:szCs w:val="22"/>
            </w:rPr>
            <w:t xml:space="preserve">Plan Management Provision </w:t>
          </w:r>
          <w:r w:rsidR="007F000F">
            <w:rPr>
              <w:rFonts w:ascii="Century Gothic" w:hAnsi="Century Gothic" w:cs="Arial"/>
              <w:b/>
              <w:color w:val="666666"/>
              <w:sz w:val="22"/>
              <w:szCs w:val="22"/>
            </w:rPr>
            <w:t>Processing Officer</w:t>
          </w:r>
        </w:p>
        <w:p w:rsidR="007942A9" w:rsidRPr="00E779EA" w:rsidRDefault="005D7AE2">
          <w:pPr>
            <w:spacing w:line="220" w:lineRule="atLeast"/>
            <w:jc w:val="right"/>
            <w:rPr>
              <w:rFonts w:ascii="Century Gothic" w:hAnsi="Century Gothic" w:cs="Arial"/>
              <w:color w:val="666666"/>
              <w:sz w:val="22"/>
              <w:szCs w:val="22"/>
            </w:rPr>
          </w:pPr>
          <w:r>
            <w:rPr>
              <w:rFonts w:ascii="Century Gothic" w:hAnsi="Century Gothic" w:cs="Arial"/>
              <w:b/>
              <w:color w:val="666666"/>
              <w:sz w:val="22"/>
              <w:szCs w:val="22"/>
            </w:rPr>
            <w:t xml:space="preserve"> </w:t>
          </w:r>
        </w:p>
      </w:tc>
    </w:tr>
  </w:tbl>
  <w:p w:rsidR="007942A9" w:rsidRDefault="007942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A33CB60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Futura Book" w:hAnsi="Futura Book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D7F81"/>
    <w:multiLevelType w:val="hybridMultilevel"/>
    <w:tmpl w:val="BD6C5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C05"/>
    <w:multiLevelType w:val="hybridMultilevel"/>
    <w:tmpl w:val="4F8E6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63140"/>
    <w:multiLevelType w:val="hybridMultilevel"/>
    <w:tmpl w:val="63B8E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6434"/>
    <w:multiLevelType w:val="hybridMultilevel"/>
    <w:tmpl w:val="4DE82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33AF"/>
    <w:multiLevelType w:val="hybridMultilevel"/>
    <w:tmpl w:val="D9400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55D9D"/>
    <w:multiLevelType w:val="hybridMultilevel"/>
    <w:tmpl w:val="D894260A"/>
    <w:lvl w:ilvl="0" w:tplc="9C946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822B1"/>
    <w:multiLevelType w:val="hybridMultilevel"/>
    <w:tmpl w:val="14EE4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30DE"/>
    <w:multiLevelType w:val="hybridMultilevel"/>
    <w:tmpl w:val="B6660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CB46E">
      <w:numFmt w:val="bullet"/>
      <w:lvlText w:val="-"/>
      <w:lvlJc w:val="left"/>
      <w:pPr>
        <w:ind w:left="1440" w:hanging="360"/>
      </w:pPr>
      <w:rPr>
        <w:rFonts w:ascii="Century Gothic" w:eastAsia="PMingLiU" w:hAnsi="Century Gothic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12DDE"/>
    <w:multiLevelType w:val="hybridMultilevel"/>
    <w:tmpl w:val="1ADEF9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03F27"/>
    <w:multiLevelType w:val="hybridMultilevel"/>
    <w:tmpl w:val="E91C5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263C6"/>
    <w:multiLevelType w:val="hybridMultilevel"/>
    <w:tmpl w:val="F5D44C8C"/>
    <w:lvl w:ilvl="0" w:tplc="0C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B47563"/>
    <w:multiLevelType w:val="hybridMultilevel"/>
    <w:tmpl w:val="672EA668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0350C3"/>
    <w:multiLevelType w:val="hybridMultilevel"/>
    <w:tmpl w:val="13283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3E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AC2646"/>
    <w:multiLevelType w:val="hybridMultilevel"/>
    <w:tmpl w:val="F654B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14741"/>
    <w:multiLevelType w:val="hybridMultilevel"/>
    <w:tmpl w:val="25523916"/>
    <w:lvl w:ilvl="0" w:tplc="4FE6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2E0128C6"/>
    <w:multiLevelType w:val="hybridMultilevel"/>
    <w:tmpl w:val="F1D29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A084B"/>
    <w:multiLevelType w:val="hybridMultilevel"/>
    <w:tmpl w:val="9C0CF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2B4C"/>
    <w:multiLevelType w:val="hybridMultilevel"/>
    <w:tmpl w:val="917E3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5C30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5A759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96F0453"/>
    <w:multiLevelType w:val="hybridMultilevel"/>
    <w:tmpl w:val="297AA4BC"/>
    <w:lvl w:ilvl="0" w:tplc="9C946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100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0D2823"/>
    <w:multiLevelType w:val="hybridMultilevel"/>
    <w:tmpl w:val="077C5A2E"/>
    <w:lvl w:ilvl="0" w:tplc="9C946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C424B"/>
    <w:multiLevelType w:val="hybridMultilevel"/>
    <w:tmpl w:val="F3B2A4E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A31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3B479AE"/>
    <w:multiLevelType w:val="singleLevel"/>
    <w:tmpl w:val="40B4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7" w15:restartNumberingAfterBreak="0">
    <w:nsid w:val="5A373E38"/>
    <w:multiLevelType w:val="hybridMultilevel"/>
    <w:tmpl w:val="44C2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238A9"/>
    <w:multiLevelType w:val="hybridMultilevel"/>
    <w:tmpl w:val="BA18D25A"/>
    <w:lvl w:ilvl="0" w:tplc="ED9E836A">
      <w:start w:val="1"/>
      <w:numFmt w:val="bullet"/>
      <w:lvlText w:val=""/>
      <w:lvlJc w:val="left"/>
      <w:pPr>
        <w:tabs>
          <w:tab w:val="num" w:pos="553"/>
        </w:tabs>
        <w:ind w:left="567" w:hanging="283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56A4A"/>
    <w:multiLevelType w:val="hybridMultilevel"/>
    <w:tmpl w:val="F30CB5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63275"/>
    <w:multiLevelType w:val="hybridMultilevel"/>
    <w:tmpl w:val="EE364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30990"/>
    <w:multiLevelType w:val="hybridMultilevel"/>
    <w:tmpl w:val="F020C36C"/>
    <w:lvl w:ilvl="0" w:tplc="1590BE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759E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0ED079D"/>
    <w:multiLevelType w:val="hybridMultilevel"/>
    <w:tmpl w:val="17D249E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5C30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B0BDE"/>
    <w:multiLevelType w:val="hybridMultilevel"/>
    <w:tmpl w:val="C56A2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A066F"/>
    <w:multiLevelType w:val="hybridMultilevel"/>
    <w:tmpl w:val="1478A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C82"/>
    <w:multiLevelType w:val="hybridMultilevel"/>
    <w:tmpl w:val="A70E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168CD"/>
    <w:multiLevelType w:val="hybridMultilevel"/>
    <w:tmpl w:val="D3A854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E5E13"/>
    <w:multiLevelType w:val="hybridMultilevel"/>
    <w:tmpl w:val="B198B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2"/>
  </w:num>
  <w:num w:numId="4">
    <w:abstractNumId w:val="25"/>
  </w:num>
  <w:num w:numId="5">
    <w:abstractNumId w:val="22"/>
  </w:num>
  <w:num w:numId="6">
    <w:abstractNumId w:val="14"/>
  </w:num>
  <w:num w:numId="7">
    <w:abstractNumId w:val="12"/>
  </w:num>
  <w:num w:numId="8">
    <w:abstractNumId w:val="37"/>
  </w:num>
  <w:num w:numId="9">
    <w:abstractNumId w:val="10"/>
  </w:num>
  <w:num w:numId="1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>
    <w:abstractNumId w:val="9"/>
  </w:num>
  <w:num w:numId="12">
    <w:abstractNumId w:val="36"/>
  </w:num>
  <w:num w:numId="13">
    <w:abstractNumId w:val="3"/>
  </w:num>
  <w:num w:numId="14">
    <w:abstractNumId w:val="7"/>
  </w:num>
  <w:num w:numId="15">
    <w:abstractNumId w:val="34"/>
  </w:num>
  <w:num w:numId="16">
    <w:abstractNumId w:val="24"/>
  </w:num>
  <w:num w:numId="17">
    <w:abstractNumId w:val="37"/>
  </w:num>
  <w:num w:numId="18">
    <w:abstractNumId w:val="3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8"/>
  </w:num>
  <w:num w:numId="22">
    <w:abstractNumId w:val="16"/>
  </w:num>
  <w:num w:numId="23">
    <w:abstractNumId w:val="23"/>
  </w:num>
  <w:num w:numId="24">
    <w:abstractNumId w:val="6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1"/>
  </w:num>
  <w:num w:numId="28">
    <w:abstractNumId w:val="4"/>
  </w:num>
  <w:num w:numId="29">
    <w:abstractNumId w:val="29"/>
  </w:num>
  <w:num w:numId="30">
    <w:abstractNumId w:val="17"/>
  </w:num>
  <w:num w:numId="31">
    <w:abstractNumId w:val="35"/>
  </w:num>
  <w:num w:numId="32">
    <w:abstractNumId w:val="38"/>
  </w:num>
  <w:num w:numId="33">
    <w:abstractNumId w:val="8"/>
  </w:num>
  <w:num w:numId="34">
    <w:abstractNumId w:val="33"/>
  </w:num>
  <w:num w:numId="35">
    <w:abstractNumId w:val="19"/>
  </w:num>
  <w:num w:numId="36">
    <w:abstractNumId w:val="15"/>
  </w:num>
  <w:num w:numId="37">
    <w:abstractNumId w:val="18"/>
  </w:num>
  <w:num w:numId="38">
    <w:abstractNumId w:val="1"/>
  </w:num>
  <w:num w:numId="39">
    <w:abstractNumId w:val="30"/>
  </w:num>
  <w:num w:numId="40">
    <w:abstractNumId w:val="27"/>
  </w:num>
  <w:num w:numId="41">
    <w:abstractNumId w:val="5"/>
  </w:num>
  <w:num w:numId="42">
    <w:abstractNumId w:val="13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znMDJdggxCMEzCOzww7CENQ2vbamVSe1UP0lh1w9NQQbrtQJkVvTd2OC31w4r23XzO8tfiqwbwE5YxS190u4HA==" w:salt="ZzjAl6N0Sx0EG9VDxqp8xA==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63"/>
    <w:rsid w:val="00014B88"/>
    <w:rsid w:val="00017CC2"/>
    <w:rsid w:val="00027D25"/>
    <w:rsid w:val="00044F5F"/>
    <w:rsid w:val="00063B0D"/>
    <w:rsid w:val="00077D04"/>
    <w:rsid w:val="0008000F"/>
    <w:rsid w:val="00096EB6"/>
    <w:rsid w:val="000C76E7"/>
    <w:rsid w:val="000D2A4D"/>
    <w:rsid w:val="00105698"/>
    <w:rsid w:val="0013591F"/>
    <w:rsid w:val="001A38A6"/>
    <w:rsid w:val="001A7A74"/>
    <w:rsid w:val="001B3A4E"/>
    <w:rsid w:val="00221EF1"/>
    <w:rsid w:val="00234679"/>
    <w:rsid w:val="00242854"/>
    <w:rsid w:val="002E23A6"/>
    <w:rsid w:val="002E4385"/>
    <w:rsid w:val="003A29DA"/>
    <w:rsid w:val="003C43DD"/>
    <w:rsid w:val="003D2FD0"/>
    <w:rsid w:val="003E1180"/>
    <w:rsid w:val="00406A19"/>
    <w:rsid w:val="0042481D"/>
    <w:rsid w:val="00425163"/>
    <w:rsid w:val="00446612"/>
    <w:rsid w:val="00471F80"/>
    <w:rsid w:val="00476C56"/>
    <w:rsid w:val="004808CE"/>
    <w:rsid w:val="004C4097"/>
    <w:rsid w:val="004E2BAE"/>
    <w:rsid w:val="004E7E11"/>
    <w:rsid w:val="00512F5F"/>
    <w:rsid w:val="00542F02"/>
    <w:rsid w:val="00544EBC"/>
    <w:rsid w:val="005C6AB9"/>
    <w:rsid w:val="005D7AE2"/>
    <w:rsid w:val="006022B8"/>
    <w:rsid w:val="00622AB3"/>
    <w:rsid w:val="006247A8"/>
    <w:rsid w:val="006259F2"/>
    <w:rsid w:val="00640578"/>
    <w:rsid w:val="00646442"/>
    <w:rsid w:val="006F3553"/>
    <w:rsid w:val="00722897"/>
    <w:rsid w:val="007942A9"/>
    <w:rsid w:val="007B18FF"/>
    <w:rsid w:val="007C2F6E"/>
    <w:rsid w:val="007E012A"/>
    <w:rsid w:val="007E4C63"/>
    <w:rsid w:val="007F000F"/>
    <w:rsid w:val="007F464B"/>
    <w:rsid w:val="00830335"/>
    <w:rsid w:val="00837C50"/>
    <w:rsid w:val="00856BF0"/>
    <w:rsid w:val="008A3228"/>
    <w:rsid w:val="008A7028"/>
    <w:rsid w:val="008C3679"/>
    <w:rsid w:val="008C50FE"/>
    <w:rsid w:val="008D1E9C"/>
    <w:rsid w:val="00904390"/>
    <w:rsid w:val="00904B23"/>
    <w:rsid w:val="009146B9"/>
    <w:rsid w:val="009200AB"/>
    <w:rsid w:val="00952859"/>
    <w:rsid w:val="0097730B"/>
    <w:rsid w:val="00977D52"/>
    <w:rsid w:val="009A53A3"/>
    <w:rsid w:val="00A0128C"/>
    <w:rsid w:val="00A05A32"/>
    <w:rsid w:val="00A61A99"/>
    <w:rsid w:val="00A61F45"/>
    <w:rsid w:val="00AA5E22"/>
    <w:rsid w:val="00AB48BA"/>
    <w:rsid w:val="00AC4599"/>
    <w:rsid w:val="00AE054A"/>
    <w:rsid w:val="00B370F1"/>
    <w:rsid w:val="00B41D52"/>
    <w:rsid w:val="00B4638E"/>
    <w:rsid w:val="00B50D42"/>
    <w:rsid w:val="00B52E12"/>
    <w:rsid w:val="00B537C2"/>
    <w:rsid w:val="00BA4003"/>
    <w:rsid w:val="00BD294B"/>
    <w:rsid w:val="00BF202A"/>
    <w:rsid w:val="00C63BB1"/>
    <w:rsid w:val="00C95CC2"/>
    <w:rsid w:val="00CA2D42"/>
    <w:rsid w:val="00CC251E"/>
    <w:rsid w:val="00CD7608"/>
    <w:rsid w:val="00CF08E3"/>
    <w:rsid w:val="00CF703F"/>
    <w:rsid w:val="00D5102D"/>
    <w:rsid w:val="00D73FCF"/>
    <w:rsid w:val="00E469BF"/>
    <w:rsid w:val="00E8389C"/>
    <w:rsid w:val="00EF5632"/>
    <w:rsid w:val="00F329EF"/>
    <w:rsid w:val="00F32A6D"/>
    <w:rsid w:val="00F3721B"/>
    <w:rsid w:val="00F63364"/>
    <w:rsid w:val="00F71EFA"/>
    <w:rsid w:val="00F86EB9"/>
    <w:rsid w:val="00F900E5"/>
    <w:rsid w:val="00F97763"/>
    <w:rsid w:val="00FA67CB"/>
    <w:rsid w:val="00FC3F11"/>
    <w:rsid w:val="00F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5:chartTrackingRefBased/>
  <w15:docId w15:val="{2D7AA879-059B-4B36-B854-B305E625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Times New Roman" w:hAnsi="Arial"/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spacing w:before="40" w:after="40"/>
      <w:outlineLvl w:val="6"/>
    </w:pPr>
    <w:rPr>
      <w:rFonts w:ascii="Arial" w:eastAsia="Times New Roman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customStyle="1" w:styleId="H1">
    <w:name w:val="H1"/>
    <w:basedOn w:val="Normal"/>
    <w:next w:val="Normal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en-US"/>
    </w:rPr>
  </w:style>
  <w:style w:type="paragraph" w:styleId="BodyText3">
    <w:name w:val="Body Text 3"/>
    <w:basedOn w:val="Normal"/>
    <w:rPr>
      <w:rFonts w:eastAsia="Times New Roman"/>
      <w:iCs/>
      <w:szCs w:val="20"/>
      <w:lang w:eastAsia="en-US"/>
    </w:rPr>
  </w:style>
  <w:style w:type="paragraph" w:styleId="BodyTextIndent2">
    <w:name w:val="Body Text Indent 2"/>
    <w:basedOn w:val="Normal"/>
    <w:pPr>
      <w:ind w:hanging="11"/>
      <w:outlineLvl w:val="0"/>
    </w:pPr>
    <w:rPr>
      <w:rFonts w:ascii="Arial" w:eastAsia="Times New Roman" w:hAnsi="Arial" w:cs="Arial"/>
      <w:sz w:val="22"/>
      <w:szCs w:val="20"/>
      <w:lang w:eastAsia="en-US"/>
    </w:rPr>
  </w:style>
  <w:style w:type="paragraph" w:styleId="BodyTextIndent3">
    <w:name w:val="Body Text Indent 3"/>
    <w:basedOn w:val="Normal"/>
    <w:pPr>
      <w:widowControl w:val="0"/>
      <w:spacing w:after="120"/>
      <w:ind w:left="720"/>
    </w:pPr>
    <w:rPr>
      <w:rFonts w:ascii="Arial" w:eastAsia="Times New Roman" w:hAnsi="Arial" w:cs="Arial"/>
      <w:sz w:val="22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4"/>
      <w:szCs w:val="24"/>
      <w:lang w:eastAsia="zh-TW"/>
    </w:rPr>
  </w:style>
  <w:style w:type="paragraph" w:customStyle="1" w:styleId="Level1">
    <w:name w:val="Level 1"/>
    <w:basedOn w:val="Normal"/>
    <w:pPr>
      <w:widowControl w:val="0"/>
      <w:numPr>
        <w:numId w:val="10"/>
      </w:numPr>
      <w:autoSpaceDE w:val="0"/>
      <w:autoSpaceDN w:val="0"/>
      <w:adjustRightInd w:val="0"/>
      <w:ind w:left="720" w:hanging="720"/>
      <w:outlineLvl w:val="0"/>
    </w:pPr>
    <w:rPr>
      <w:rFonts w:eastAsia="Times New Roman"/>
      <w:sz w:val="20"/>
      <w:lang w:val="en-US" w:eastAsia="en-US"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eastAsia="Calibri"/>
      <w:lang w:eastAsia="en-AU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38E"/>
    <w:pPr>
      <w:ind w:left="720"/>
    </w:pPr>
  </w:style>
  <w:style w:type="paragraph" w:styleId="FootnoteText">
    <w:name w:val="footnote text"/>
    <w:basedOn w:val="Normal"/>
    <w:link w:val="FootnoteTextChar"/>
    <w:rsid w:val="007B18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18FF"/>
    <w:rPr>
      <w:lang w:eastAsia="zh-TW"/>
    </w:rPr>
  </w:style>
  <w:style w:type="paragraph" w:styleId="NoSpacing">
    <w:name w:val="No Spacing"/>
    <w:uiPriority w:val="1"/>
    <w:qFormat/>
    <w:rsid w:val="006259F2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1A83-2C16-40CC-A1BD-13D9645B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573</Words>
  <Characters>3557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Purpose: a concise statement that makes clear the overall and broad objective of the job and avoids detail</vt:lpstr>
    </vt:vector>
  </TitlesOfParts>
  <Company>RHII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Purpose: a concise statement that makes clear the overall and broad objective of the job and avoids detail</dc:title>
  <dc:subject/>
  <dc:creator>carbar01</dc:creator>
  <cp:keywords/>
  <dc:description/>
  <cp:lastModifiedBy>Kelly Traill</cp:lastModifiedBy>
  <cp:revision>12</cp:revision>
  <cp:lastPrinted>2018-06-26T22:59:00Z</cp:lastPrinted>
  <dcterms:created xsi:type="dcterms:W3CDTF">2018-06-27T03:35:00Z</dcterms:created>
  <dcterms:modified xsi:type="dcterms:W3CDTF">2019-02-12T01:40:00Z</dcterms:modified>
</cp:coreProperties>
</file>