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6CE9B" w14:textId="77777777" w:rsidR="00267E67" w:rsidRDefault="00267E67" w:rsidP="00267E67">
      <w:pPr>
        <w:pStyle w:val="Heading1"/>
      </w:pPr>
      <w:bookmarkStart w:id="0" w:name="_GoBack"/>
      <w:bookmarkEnd w:id="0"/>
      <w:r>
        <w:rPr>
          <w:noProof/>
          <w:lang w:eastAsia="en-AU"/>
        </w:rPr>
        <w:drawing>
          <wp:inline distT="0" distB="0" distL="0" distR="0" wp14:anchorId="2E5ACCFD" wp14:editId="6C76C72C">
            <wp:extent cx="1600200" cy="1114425"/>
            <wp:effectExtent l="0" t="0" r="0"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114425"/>
                    </a:xfrm>
                    <a:prstGeom prst="rect">
                      <a:avLst/>
                    </a:prstGeom>
                    <a:noFill/>
                    <a:ln>
                      <a:noFill/>
                    </a:ln>
                  </pic:spPr>
                </pic:pic>
              </a:graphicData>
            </a:graphic>
          </wp:inline>
        </w:drawing>
      </w:r>
    </w:p>
    <w:p w14:paraId="0D40E654" w14:textId="77777777" w:rsidR="00267E67" w:rsidRPr="00221EF1" w:rsidRDefault="00267E67" w:rsidP="00267E67">
      <w:pPr>
        <w:pStyle w:val="Heading1"/>
        <w:rPr>
          <w:sz w:val="24"/>
        </w:rPr>
      </w:pPr>
    </w:p>
    <w:p w14:paraId="0DD0EC13" w14:textId="77777777" w:rsidR="00267E67" w:rsidRPr="00221EF1" w:rsidRDefault="00267E67" w:rsidP="00267E67">
      <w:pPr>
        <w:pStyle w:val="Heading1"/>
        <w:rPr>
          <w:sz w:val="24"/>
          <w:szCs w:val="16"/>
          <w:lang w:val="fr-FR"/>
        </w:rPr>
      </w:pPr>
      <w:r w:rsidRPr="00221EF1">
        <w:rPr>
          <w:sz w:val="24"/>
          <w:szCs w:val="16"/>
          <w:lang w:val="fr-FR"/>
        </w:rPr>
        <w:t>POSITION DESCRIPTION:</w:t>
      </w:r>
    </w:p>
    <w:p w14:paraId="22FD5A4A" w14:textId="22023B18" w:rsidR="00267E67" w:rsidRPr="00FD3201" w:rsidRDefault="00267E67" w:rsidP="00267E67">
      <w:pPr>
        <w:pStyle w:val="Heading2"/>
        <w:rPr>
          <w:lang w:val="fr-FR"/>
        </w:rPr>
      </w:pPr>
      <w:r w:rsidRPr="00FD3201">
        <w:rPr>
          <w:lang w:val="fr-FR"/>
        </w:rPr>
        <w:t>SECTION A:   Position Context</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400"/>
      </w:tblGrid>
      <w:tr w:rsidR="00267E67" w:rsidRPr="00FD3201" w14:paraId="1E047E15" w14:textId="77777777" w:rsidTr="00EC174C">
        <w:tc>
          <w:tcPr>
            <w:tcW w:w="2880"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tcPr>
          <w:p w14:paraId="6C7D8400" w14:textId="77777777" w:rsidR="00267E67" w:rsidRPr="00FD3201" w:rsidRDefault="00267E67" w:rsidP="00EC174C">
            <w:pPr>
              <w:pStyle w:val="Heading3"/>
              <w:rPr>
                <w:sz w:val="16"/>
                <w:szCs w:val="16"/>
              </w:rPr>
            </w:pPr>
            <w:r w:rsidRPr="00FD3201">
              <w:rPr>
                <w:sz w:val="16"/>
                <w:szCs w:val="16"/>
              </w:rPr>
              <w:t>Position Title</w:t>
            </w:r>
          </w:p>
        </w:tc>
        <w:tc>
          <w:tcPr>
            <w:tcW w:w="540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DD4DF5" w14:textId="0454F77F" w:rsidR="00267E67" w:rsidRPr="00FD3201" w:rsidRDefault="007214A9" w:rsidP="009A301B">
            <w:pPr>
              <w:rPr>
                <w:sz w:val="16"/>
                <w:szCs w:val="16"/>
              </w:rPr>
            </w:pPr>
            <w:r>
              <w:rPr>
                <w:sz w:val="18"/>
                <w:szCs w:val="18"/>
              </w:rPr>
              <w:t xml:space="preserve">Project </w:t>
            </w:r>
            <w:r w:rsidR="00A53E2A">
              <w:rPr>
                <w:sz w:val="18"/>
                <w:szCs w:val="18"/>
              </w:rPr>
              <w:t>Manager</w:t>
            </w:r>
            <w:r w:rsidR="005A15D2">
              <w:rPr>
                <w:sz w:val="18"/>
                <w:szCs w:val="18"/>
              </w:rPr>
              <w:t xml:space="preserve">, </w:t>
            </w:r>
            <w:r>
              <w:rPr>
                <w:sz w:val="18"/>
                <w:szCs w:val="18"/>
              </w:rPr>
              <w:t xml:space="preserve">PNG (Melbourne based) </w:t>
            </w:r>
            <w:r w:rsidR="009A301B">
              <w:rPr>
                <w:sz w:val="18"/>
                <w:szCs w:val="18"/>
              </w:rPr>
              <w:t xml:space="preserve">12 </w:t>
            </w:r>
            <w:r w:rsidRPr="00A810CA">
              <w:rPr>
                <w:sz w:val="18"/>
                <w:szCs w:val="18"/>
              </w:rPr>
              <w:t xml:space="preserve">month position with </w:t>
            </w:r>
            <w:r w:rsidR="004001BB" w:rsidRPr="00A810CA">
              <w:rPr>
                <w:sz w:val="18"/>
                <w:szCs w:val="18"/>
              </w:rPr>
              <w:t xml:space="preserve">a high </w:t>
            </w:r>
            <w:r w:rsidRPr="00A810CA">
              <w:rPr>
                <w:sz w:val="18"/>
                <w:szCs w:val="18"/>
              </w:rPr>
              <w:t xml:space="preserve"> possibility of extension</w:t>
            </w:r>
          </w:p>
        </w:tc>
      </w:tr>
      <w:tr w:rsidR="00267E67" w:rsidRPr="00FD3201" w14:paraId="70A97C81" w14:textId="77777777" w:rsidTr="00EC174C">
        <w:tc>
          <w:tcPr>
            <w:tcW w:w="2880"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tcPr>
          <w:p w14:paraId="323C1733" w14:textId="77777777" w:rsidR="00267E67" w:rsidRPr="00FD3201" w:rsidRDefault="00267E67" w:rsidP="00EC174C">
            <w:pPr>
              <w:pStyle w:val="Heading3"/>
              <w:rPr>
                <w:sz w:val="16"/>
                <w:szCs w:val="16"/>
              </w:rPr>
            </w:pPr>
            <w:r>
              <w:rPr>
                <w:sz w:val="16"/>
                <w:szCs w:val="16"/>
              </w:rPr>
              <w:t>Location</w:t>
            </w:r>
          </w:p>
        </w:tc>
        <w:tc>
          <w:tcPr>
            <w:tcW w:w="540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52C702" w14:textId="77777777" w:rsidR="00267E67" w:rsidRPr="00A810CA" w:rsidRDefault="00267E67" w:rsidP="00EC174C">
            <w:pPr>
              <w:rPr>
                <w:sz w:val="18"/>
                <w:szCs w:val="18"/>
              </w:rPr>
            </w:pPr>
            <w:r w:rsidRPr="00A810CA">
              <w:rPr>
                <w:sz w:val="18"/>
                <w:szCs w:val="18"/>
              </w:rPr>
              <w:t>85 Commercial Road Melbourne</w:t>
            </w:r>
          </w:p>
        </w:tc>
      </w:tr>
      <w:tr w:rsidR="00267E67" w:rsidRPr="00FD3201" w14:paraId="323E790A" w14:textId="77777777" w:rsidTr="00EC174C">
        <w:tc>
          <w:tcPr>
            <w:tcW w:w="2880"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tcPr>
          <w:p w14:paraId="311A4678" w14:textId="77777777" w:rsidR="00267E67" w:rsidRPr="00FD3201" w:rsidRDefault="00267E67" w:rsidP="00EC174C">
            <w:pPr>
              <w:pStyle w:val="Heading3"/>
              <w:rPr>
                <w:sz w:val="16"/>
                <w:szCs w:val="16"/>
              </w:rPr>
            </w:pPr>
            <w:r w:rsidRPr="00FD3201">
              <w:rPr>
                <w:sz w:val="16"/>
                <w:szCs w:val="16"/>
              </w:rPr>
              <w:t>Effective Date</w:t>
            </w:r>
          </w:p>
        </w:tc>
        <w:tc>
          <w:tcPr>
            <w:tcW w:w="540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0E28C2" w14:textId="35A4CBE9" w:rsidR="00267E67" w:rsidRPr="00A810CA" w:rsidRDefault="009A301B" w:rsidP="00EC174C">
            <w:pPr>
              <w:rPr>
                <w:sz w:val="18"/>
                <w:szCs w:val="18"/>
              </w:rPr>
            </w:pPr>
            <w:r>
              <w:rPr>
                <w:sz w:val="18"/>
                <w:szCs w:val="18"/>
              </w:rPr>
              <w:t>January 2019</w:t>
            </w:r>
          </w:p>
        </w:tc>
      </w:tr>
    </w:tbl>
    <w:p w14:paraId="21B630F4" w14:textId="77777777" w:rsidR="00267E67" w:rsidRPr="00FD3201" w:rsidRDefault="00267E67" w:rsidP="00267E67">
      <w:pPr>
        <w:rPr>
          <w:sz w:val="16"/>
          <w:szCs w:val="16"/>
        </w:rPr>
      </w:pPr>
    </w:p>
    <w:p w14:paraId="6580BC95" w14:textId="77777777" w:rsidR="00267E67" w:rsidRPr="00221EF1" w:rsidRDefault="00267E67" w:rsidP="00267E67">
      <w:pPr>
        <w:pStyle w:val="Heading3"/>
        <w:rPr>
          <w:szCs w:val="16"/>
        </w:rPr>
      </w:pPr>
      <w:r w:rsidRPr="00221EF1">
        <w:rPr>
          <w:szCs w:val="16"/>
        </w:rPr>
        <w:t>Purpose:</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7"/>
      </w:tblGrid>
      <w:tr w:rsidR="00267E67" w:rsidRPr="00FD3201" w14:paraId="2FD1971A" w14:textId="77777777" w:rsidTr="00EC174C">
        <w:trPr>
          <w:trHeight w:val="790"/>
        </w:trPr>
        <w:tc>
          <w:tcPr>
            <w:tcW w:w="9777" w:type="dxa"/>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tcPr>
          <w:p w14:paraId="38CFD66D" w14:textId="35CF4455" w:rsidR="0028204E" w:rsidRPr="000B586B" w:rsidRDefault="0028204E" w:rsidP="0028204E">
            <w:pPr>
              <w:rPr>
                <w:rFonts w:ascii="Calibri" w:hAnsi="Calibri" w:cs="Calibri"/>
                <w:sz w:val="22"/>
              </w:rPr>
            </w:pPr>
            <w:r w:rsidRPr="0028204E">
              <w:rPr>
                <w:rFonts w:cs="Arial"/>
                <w:sz w:val="22"/>
                <w:szCs w:val="20"/>
                <w:lang w:val="en-US"/>
              </w:rPr>
              <w:t xml:space="preserve">The Project Manager will work closely with in-country team members, technical staff as well the finance and administration team to ensure </w:t>
            </w:r>
            <w:r w:rsidR="007D51F1">
              <w:rPr>
                <w:rFonts w:cs="Arial"/>
                <w:sz w:val="22"/>
                <w:szCs w:val="20"/>
                <w:lang w:val="en-US"/>
              </w:rPr>
              <w:t xml:space="preserve">the effective implementation of </w:t>
            </w:r>
            <w:r w:rsidR="00CB1D68">
              <w:rPr>
                <w:rFonts w:cs="Arial"/>
                <w:sz w:val="22"/>
                <w:szCs w:val="20"/>
                <w:lang w:val="en-US"/>
              </w:rPr>
              <w:t xml:space="preserve">a suite of </w:t>
            </w:r>
            <w:r w:rsidR="007D51F1">
              <w:rPr>
                <w:rFonts w:cs="Arial"/>
                <w:sz w:val="22"/>
                <w:szCs w:val="20"/>
                <w:lang w:val="en-US"/>
              </w:rPr>
              <w:t>activities.</w:t>
            </w:r>
            <w:r w:rsidRPr="0028204E">
              <w:rPr>
                <w:rFonts w:cs="Arial"/>
                <w:sz w:val="22"/>
                <w:szCs w:val="20"/>
                <w:lang w:val="en-US"/>
              </w:rPr>
              <w:t xml:space="preserve">  </w:t>
            </w:r>
          </w:p>
          <w:p w14:paraId="3252DC13" w14:textId="6CF75043" w:rsidR="00267E67" w:rsidRPr="008372C0" w:rsidRDefault="00874E98">
            <w:pPr>
              <w:rPr>
                <w:rFonts w:cs="Arial"/>
                <w:sz w:val="22"/>
                <w:szCs w:val="20"/>
                <w:lang w:val="en-US"/>
              </w:rPr>
            </w:pPr>
            <w:r>
              <w:rPr>
                <w:rFonts w:cs="Arial"/>
                <w:sz w:val="22"/>
                <w:szCs w:val="20"/>
                <w:lang w:val="en-US"/>
              </w:rPr>
              <w:t>They w</w:t>
            </w:r>
            <w:r w:rsidR="00EC174C">
              <w:rPr>
                <w:rFonts w:cs="Arial"/>
                <w:sz w:val="22"/>
                <w:szCs w:val="20"/>
                <w:lang w:val="en-US"/>
              </w:rPr>
              <w:t>ill be</w:t>
            </w:r>
            <w:r w:rsidR="008372C0" w:rsidRPr="00BE0E87">
              <w:rPr>
                <w:rFonts w:cs="Arial"/>
                <w:sz w:val="22"/>
                <w:szCs w:val="20"/>
                <w:lang w:val="en-US"/>
              </w:rPr>
              <w:t xml:space="preserve"> part of an experienced team </w:t>
            </w:r>
            <w:r w:rsidR="008854F4">
              <w:rPr>
                <w:rFonts w:cs="Arial"/>
                <w:sz w:val="22"/>
                <w:szCs w:val="20"/>
                <w:lang w:val="en-US"/>
              </w:rPr>
              <w:t xml:space="preserve">of </w:t>
            </w:r>
            <w:r w:rsidR="007214A9">
              <w:rPr>
                <w:rFonts w:cs="Arial"/>
                <w:sz w:val="22"/>
                <w:szCs w:val="20"/>
                <w:lang w:val="en-US"/>
              </w:rPr>
              <w:t xml:space="preserve">project managers </w:t>
            </w:r>
            <w:r w:rsidR="008372C0" w:rsidRPr="00BE0E87">
              <w:rPr>
                <w:rFonts w:cs="Arial"/>
                <w:sz w:val="22"/>
                <w:szCs w:val="20"/>
                <w:lang w:val="en-US"/>
              </w:rPr>
              <w:t xml:space="preserve">based in Melbourne.  The role </w:t>
            </w:r>
            <w:r w:rsidR="009A301B" w:rsidRPr="00BE0E87">
              <w:rPr>
                <w:rFonts w:cs="Arial"/>
                <w:sz w:val="22"/>
                <w:szCs w:val="20"/>
                <w:lang w:val="en-US"/>
              </w:rPr>
              <w:t xml:space="preserve">will </w:t>
            </w:r>
            <w:r w:rsidR="009A301B">
              <w:rPr>
                <w:rFonts w:cs="Arial"/>
                <w:sz w:val="22"/>
                <w:szCs w:val="20"/>
                <w:lang w:val="en-US"/>
              </w:rPr>
              <w:t>coordinate</w:t>
            </w:r>
            <w:r w:rsidR="007214A9">
              <w:rPr>
                <w:rFonts w:cs="Arial"/>
                <w:sz w:val="22"/>
                <w:szCs w:val="20"/>
                <w:lang w:val="en-US"/>
              </w:rPr>
              <w:t xml:space="preserve"> personnel deployment to PNG, </w:t>
            </w:r>
            <w:r w:rsidR="008372C0" w:rsidRPr="00BE0E87">
              <w:rPr>
                <w:rFonts w:cs="Arial"/>
                <w:sz w:val="22"/>
                <w:szCs w:val="20"/>
                <w:lang w:val="en-US"/>
              </w:rPr>
              <w:t>monitor implementation progress</w:t>
            </w:r>
            <w:r w:rsidR="007214A9">
              <w:rPr>
                <w:rFonts w:cs="Arial"/>
                <w:sz w:val="22"/>
                <w:szCs w:val="20"/>
                <w:lang w:val="en-US"/>
              </w:rPr>
              <w:t xml:space="preserve"> &amp; financial management</w:t>
            </w:r>
            <w:r w:rsidR="005A15D2">
              <w:rPr>
                <w:rFonts w:cs="Arial"/>
                <w:sz w:val="22"/>
                <w:szCs w:val="20"/>
                <w:lang w:val="en-US"/>
              </w:rPr>
              <w:t>,</w:t>
            </w:r>
            <w:r w:rsidR="008372C0" w:rsidRPr="00BE0E87">
              <w:rPr>
                <w:rFonts w:cs="Arial"/>
                <w:sz w:val="22"/>
                <w:szCs w:val="20"/>
                <w:lang w:val="en-US"/>
              </w:rPr>
              <w:t xml:space="preserve"> provide logistical </w:t>
            </w:r>
            <w:r w:rsidR="008854F4">
              <w:rPr>
                <w:rFonts w:cs="Arial"/>
                <w:sz w:val="22"/>
                <w:szCs w:val="20"/>
                <w:lang w:val="en-US"/>
              </w:rPr>
              <w:t xml:space="preserve">and administrative </w:t>
            </w:r>
            <w:r w:rsidR="008372C0" w:rsidRPr="00BE0E87">
              <w:rPr>
                <w:rFonts w:cs="Arial"/>
                <w:sz w:val="22"/>
                <w:szCs w:val="20"/>
                <w:lang w:val="en-US"/>
              </w:rPr>
              <w:t xml:space="preserve">support and </w:t>
            </w:r>
            <w:r w:rsidR="008854F4">
              <w:rPr>
                <w:rFonts w:cs="Arial"/>
                <w:sz w:val="22"/>
                <w:szCs w:val="20"/>
                <w:lang w:val="en-US"/>
              </w:rPr>
              <w:t>respond</w:t>
            </w:r>
            <w:r w:rsidR="007214A9">
              <w:rPr>
                <w:rFonts w:cs="Arial"/>
                <w:sz w:val="22"/>
                <w:szCs w:val="20"/>
                <w:lang w:val="en-US"/>
              </w:rPr>
              <w:t xml:space="preserve"> to </w:t>
            </w:r>
            <w:r w:rsidR="008372C0" w:rsidRPr="00BE0E87">
              <w:rPr>
                <w:rFonts w:cs="Arial"/>
                <w:sz w:val="22"/>
                <w:szCs w:val="20"/>
                <w:lang w:val="en-US"/>
              </w:rPr>
              <w:t>emerging</w:t>
            </w:r>
            <w:r w:rsidR="00EC174C">
              <w:rPr>
                <w:rFonts w:cs="Arial"/>
                <w:sz w:val="22"/>
                <w:szCs w:val="20"/>
                <w:lang w:val="en-US"/>
              </w:rPr>
              <w:t xml:space="preserve"> </w:t>
            </w:r>
            <w:r w:rsidR="005A15D2">
              <w:rPr>
                <w:rFonts w:cs="Arial"/>
                <w:sz w:val="22"/>
                <w:szCs w:val="20"/>
                <w:lang w:val="en-US"/>
              </w:rPr>
              <w:t>risks</w:t>
            </w:r>
            <w:r w:rsidR="008372C0" w:rsidRPr="00BE0E87">
              <w:rPr>
                <w:rFonts w:cs="Arial"/>
                <w:sz w:val="22"/>
                <w:szCs w:val="20"/>
                <w:lang w:val="en-US"/>
              </w:rPr>
              <w:t xml:space="preserve">.  </w:t>
            </w:r>
          </w:p>
        </w:tc>
      </w:tr>
    </w:tbl>
    <w:p w14:paraId="6973E632" w14:textId="0B7D0CD3" w:rsidR="00267E67" w:rsidRPr="007A2A80" w:rsidRDefault="00267E67" w:rsidP="00267E67">
      <w:pPr>
        <w:pStyle w:val="Heading2"/>
      </w:pPr>
      <w:r w:rsidRPr="007A2A80">
        <w:t>ECTION B:  Key Responsibility Areas</w:t>
      </w:r>
    </w:p>
    <w:p w14:paraId="1E52F6F0" w14:textId="77777777" w:rsidR="00267E67" w:rsidRPr="00FD3201" w:rsidRDefault="00267E67" w:rsidP="00267E67">
      <w:pPr>
        <w:jc w:val="left"/>
        <w:rPr>
          <w:sz w:val="16"/>
          <w:szCs w:val="16"/>
        </w:rPr>
        <w:sectPr w:rsidR="00267E67" w:rsidRPr="00FD3201" w:rsidSect="00267E67">
          <w:headerReference w:type="even" r:id="rId9"/>
          <w:headerReference w:type="default" r:id="rId10"/>
          <w:footerReference w:type="even" r:id="rId11"/>
          <w:footerReference w:type="default" r:id="rId12"/>
          <w:headerReference w:type="first" r:id="rId13"/>
          <w:footerReference w:type="first" r:id="rId14"/>
          <w:pgSz w:w="11906" w:h="16838"/>
          <w:pgMar w:top="1079" w:right="1106" w:bottom="794" w:left="1080" w:header="709" w:footer="489" w:gutter="0"/>
          <w:cols w:space="708"/>
          <w:formProt w:val="0"/>
          <w:docGrid w:linePitch="360"/>
        </w:sectPr>
      </w:pPr>
      <w:r w:rsidRPr="00FD3201">
        <w:rPr>
          <w:sz w:val="16"/>
          <w:szCs w:val="16"/>
        </w:rPr>
        <w:t xml:space="preserve">The key responsibility areas (KRAs) are the </w:t>
      </w:r>
      <w:r w:rsidRPr="00FD3201">
        <w:rPr>
          <w:sz w:val="16"/>
          <w:szCs w:val="16"/>
          <w:u w:val="single"/>
        </w:rPr>
        <w:t>major outputs</w:t>
      </w:r>
      <w:r w:rsidRPr="00FD3201">
        <w:rPr>
          <w:sz w:val="16"/>
          <w:szCs w:val="16"/>
        </w:rPr>
        <w:t xml:space="preserve"> for which the position is responsible and are </w:t>
      </w:r>
      <w:r w:rsidRPr="00FD3201">
        <w:rPr>
          <w:sz w:val="16"/>
          <w:szCs w:val="16"/>
          <w:u w:val="single"/>
        </w:rPr>
        <w:t>not a comprehensive statement</w:t>
      </w:r>
      <w:r w:rsidRPr="00FD3201">
        <w:rPr>
          <w:sz w:val="16"/>
          <w:szCs w:val="16"/>
        </w:rPr>
        <w:t xml:space="preserve"> of the position activities.  </w:t>
      </w:r>
    </w:p>
    <w:tbl>
      <w:tblPr>
        <w:tblW w:w="9725" w:type="dxa"/>
        <w:tblInd w:w="-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51"/>
        <w:gridCol w:w="2107"/>
        <w:gridCol w:w="7267"/>
      </w:tblGrid>
      <w:tr w:rsidR="00267E67" w:rsidRPr="00FD3201" w14:paraId="39AE4F85" w14:textId="77777777" w:rsidTr="00CB1D68">
        <w:trPr>
          <w:tblHeader/>
        </w:trPr>
        <w:tc>
          <w:tcPr>
            <w:tcW w:w="349" w:type="dxa"/>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6FD828CE" w14:textId="77777777" w:rsidR="00267E67" w:rsidRPr="00FD3201" w:rsidRDefault="00267E67" w:rsidP="00EC174C">
            <w:pPr>
              <w:pStyle w:val="Heading8"/>
              <w:spacing w:line="240" w:lineRule="auto"/>
              <w:rPr>
                <w:sz w:val="16"/>
                <w:szCs w:val="16"/>
              </w:rPr>
            </w:pPr>
          </w:p>
        </w:tc>
        <w:tc>
          <w:tcPr>
            <w:tcW w:w="9376" w:type="dxa"/>
            <w:gridSpan w:val="2"/>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52A25BF3" w14:textId="77777777" w:rsidR="00267E67" w:rsidRPr="00FD3201" w:rsidRDefault="00267E67" w:rsidP="00EC174C">
            <w:pPr>
              <w:rPr>
                <w:b/>
                <w:sz w:val="16"/>
                <w:szCs w:val="16"/>
              </w:rPr>
            </w:pPr>
            <w:r w:rsidRPr="00FD3201">
              <w:rPr>
                <w:b/>
                <w:sz w:val="16"/>
                <w:szCs w:val="16"/>
              </w:rPr>
              <w:t>Key Responsibility Areas</w:t>
            </w:r>
          </w:p>
        </w:tc>
      </w:tr>
      <w:tr w:rsidR="008372C0" w:rsidRPr="00FD3201" w14:paraId="298E42A9" w14:textId="77777777" w:rsidTr="00EC174C">
        <w:tc>
          <w:tcPr>
            <w:tcW w:w="365" w:type="dxa"/>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6F2D7DC6" w14:textId="77777777" w:rsidR="008372C0" w:rsidRPr="00FD3201" w:rsidRDefault="008372C0" w:rsidP="008372C0">
            <w:pPr>
              <w:numPr>
                <w:ilvl w:val="0"/>
                <w:numId w:val="3"/>
              </w:numPr>
              <w:rPr>
                <w:sz w:val="16"/>
                <w:szCs w:val="16"/>
              </w:rPr>
            </w:pPr>
          </w:p>
        </w:tc>
        <w:tc>
          <w:tcPr>
            <w:tcW w:w="180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3F3F1AAD" w14:textId="325B1F3E" w:rsidR="008372C0" w:rsidRPr="001437D6" w:rsidRDefault="008372C0" w:rsidP="003C0DF1">
            <w:pPr>
              <w:jc w:val="left"/>
              <w:rPr>
                <w:rFonts w:cs="Arial"/>
                <w:sz w:val="22"/>
                <w:szCs w:val="22"/>
              </w:rPr>
            </w:pPr>
            <w:r w:rsidRPr="001437D6">
              <w:rPr>
                <w:rFonts w:cs="Arial"/>
                <w:b/>
                <w:sz w:val="22"/>
                <w:szCs w:val="22"/>
              </w:rPr>
              <w:t xml:space="preserve">Project Management </w:t>
            </w:r>
            <w:r w:rsidR="007D51F1">
              <w:rPr>
                <w:rFonts w:cs="Arial"/>
                <w:b/>
                <w:sz w:val="22"/>
                <w:szCs w:val="22"/>
              </w:rPr>
              <w:t>&amp; Contract compliance</w:t>
            </w:r>
            <w:r w:rsidRPr="001437D6">
              <w:rPr>
                <w:rFonts w:cs="Arial"/>
                <w:b/>
                <w:sz w:val="22"/>
                <w:szCs w:val="22"/>
              </w:rPr>
              <w:t xml:space="preserve"> </w:t>
            </w:r>
          </w:p>
        </w:tc>
        <w:tc>
          <w:tcPr>
            <w:tcW w:w="756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72EF4187" w14:textId="4175B6FB" w:rsidR="008372C0" w:rsidRPr="001437D6" w:rsidRDefault="008372C0" w:rsidP="004E21D9">
            <w:pPr>
              <w:pStyle w:val="ListParagraph"/>
              <w:spacing w:before="100" w:beforeAutospacing="1" w:after="100" w:afterAutospacing="1"/>
              <w:rPr>
                <w:rFonts w:ascii="Arial" w:hAnsi="Arial" w:cs="Arial"/>
                <w:sz w:val="22"/>
                <w:szCs w:val="22"/>
                <w:lang w:val="en-US"/>
              </w:rPr>
            </w:pPr>
          </w:p>
          <w:p w14:paraId="4046CE29" w14:textId="4AE63457" w:rsidR="008372C0" w:rsidRDefault="008372C0" w:rsidP="008372C0">
            <w:pPr>
              <w:pStyle w:val="ListParagraph"/>
              <w:numPr>
                <w:ilvl w:val="0"/>
                <w:numId w:val="4"/>
              </w:numPr>
              <w:spacing w:before="100" w:beforeAutospacing="1" w:after="100" w:afterAutospacing="1"/>
              <w:rPr>
                <w:rFonts w:ascii="Arial" w:hAnsi="Arial" w:cs="Arial"/>
                <w:sz w:val="22"/>
                <w:szCs w:val="22"/>
                <w:lang w:val="en-US"/>
              </w:rPr>
            </w:pPr>
            <w:r w:rsidRPr="003520BF">
              <w:rPr>
                <w:rFonts w:ascii="Arial" w:hAnsi="Arial" w:cs="Arial"/>
                <w:sz w:val="22"/>
                <w:szCs w:val="22"/>
                <w:lang w:val="en-US"/>
              </w:rPr>
              <w:t xml:space="preserve">Provide </w:t>
            </w:r>
            <w:r w:rsidR="007D51F1">
              <w:rPr>
                <w:rFonts w:ascii="Arial" w:hAnsi="Arial" w:cs="Arial"/>
                <w:sz w:val="22"/>
                <w:szCs w:val="22"/>
                <w:lang w:val="en-US"/>
              </w:rPr>
              <w:t xml:space="preserve">project management support </w:t>
            </w:r>
            <w:r w:rsidRPr="003520BF">
              <w:rPr>
                <w:rFonts w:ascii="Arial" w:hAnsi="Arial" w:cs="Arial"/>
                <w:sz w:val="22"/>
                <w:szCs w:val="22"/>
                <w:lang w:val="en-US"/>
              </w:rPr>
              <w:t xml:space="preserve">to track inputs, </w:t>
            </w:r>
            <w:r w:rsidRPr="001437D6">
              <w:rPr>
                <w:rFonts w:ascii="Arial" w:hAnsi="Arial" w:cs="Arial"/>
                <w:sz w:val="22"/>
                <w:szCs w:val="22"/>
                <w:lang w:val="en-US"/>
              </w:rPr>
              <w:t>progress and outputs against implementation plans and work plans</w:t>
            </w:r>
          </w:p>
          <w:p w14:paraId="775FCEF6" w14:textId="77777777" w:rsidR="008372C0" w:rsidRPr="009301CA" w:rsidRDefault="008372C0" w:rsidP="008372C0">
            <w:pPr>
              <w:pStyle w:val="ListParagraph"/>
              <w:numPr>
                <w:ilvl w:val="0"/>
                <w:numId w:val="4"/>
              </w:numPr>
              <w:spacing w:before="100" w:beforeAutospacing="1" w:after="100" w:afterAutospacing="1"/>
              <w:rPr>
                <w:rFonts w:ascii="Arial" w:hAnsi="Arial" w:cs="Arial"/>
                <w:sz w:val="22"/>
                <w:szCs w:val="22"/>
                <w:lang w:val="en-US"/>
              </w:rPr>
            </w:pPr>
            <w:r w:rsidRPr="009301CA">
              <w:rPr>
                <w:rFonts w:ascii="Arial" w:hAnsi="Arial" w:cs="Arial"/>
                <w:sz w:val="22"/>
                <w:szCs w:val="22"/>
                <w:lang w:val="en-US"/>
              </w:rPr>
              <w:t>Provide coordination support to the implementation of linked Burnet projects and initiatives (including project reporting and tracking).</w:t>
            </w:r>
          </w:p>
          <w:p w14:paraId="093786FB" w14:textId="77777777" w:rsidR="008372C0" w:rsidRPr="001437D6" w:rsidRDefault="008372C0" w:rsidP="008372C0">
            <w:pPr>
              <w:pStyle w:val="ListParagraph"/>
              <w:numPr>
                <w:ilvl w:val="0"/>
                <w:numId w:val="4"/>
              </w:numPr>
              <w:spacing w:before="100" w:beforeAutospacing="1" w:after="100" w:afterAutospacing="1"/>
              <w:rPr>
                <w:rFonts w:ascii="Arial" w:hAnsi="Arial" w:cs="Arial"/>
                <w:sz w:val="22"/>
                <w:szCs w:val="22"/>
                <w:lang w:val="en-US"/>
              </w:rPr>
            </w:pPr>
            <w:r w:rsidRPr="001437D6">
              <w:rPr>
                <w:rFonts w:ascii="Arial" w:hAnsi="Arial" w:cs="Arial"/>
                <w:sz w:val="22"/>
                <w:szCs w:val="22"/>
                <w:lang w:val="en-US"/>
              </w:rPr>
              <w:t xml:space="preserve">Coordinate in-country logistical </w:t>
            </w:r>
            <w:r w:rsidR="008854F4">
              <w:rPr>
                <w:rFonts w:ascii="Arial" w:hAnsi="Arial" w:cs="Arial"/>
                <w:sz w:val="22"/>
                <w:szCs w:val="22"/>
                <w:lang w:val="en-US"/>
              </w:rPr>
              <w:t xml:space="preserve">and administrative </w:t>
            </w:r>
            <w:r w:rsidRPr="001437D6">
              <w:rPr>
                <w:rFonts w:ascii="Arial" w:hAnsi="Arial" w:cs="Arial"/>
                <w:sz w:val="22"/>
                <w:szCs w:val="22"/>
                <w:lang w:val="en-US"/>
              </w:rPr>
              <w:t>support to project staff and contracted advisers. </w:t>
            </w:r>
          </w:p>
          <w:p w14:paraId="0CB85528" w14:textId="59BEF911" w:rsidR="007D51F1" w:rsidRPr="00A810CA" w:rsidRDefault="008372C0">
            <w:pPr>
              <w:pStyle w:val="ListParagraph"/>
              <w:numPr>
                <w:ilvl w:val="0"/>
                <w:numId w:val="4"/>
              </w:numPr>
              <w:spacing w:before="100" w:beforeAutospacing="1" w:after="100" w:afterAutospacing="1"/>
              <w:rPr>
                <w:rFonts w:ascii="Arial" w:hAnsi="Arial" w:cs="Arial"/>
                <w:sz w:val="22"/>
                <w:szCs w:val="22"/>
                <w:lang w:val="en-US"/>
              </w:rPr>
            </w:pPr>
            <w:r w:rsidRPr="001437D6">
              <w:rPr>
                <w:rFonts w:ascii="Arial" w:hAnsi="Arial" w:cs="Arial"/>
                <w:sz w:val="22"/>
                <w:szCs w:val="22"/>
                <w:lang w:val="en-US"/>
              </w:rPr>
              <w:t>Support the completion of project reports to stakeholders and donors</w:t>
            </w:r>
          </w:p>
          <w:p w14:paraId="39267E37" w14:textId="3A0D9CA0" w:rsidR="007D51F1" w:rsidRPr="00A810CA" w:rsidRDefault="007D51F1">
            <w:pPr>
              <w:pStyle w:val="ListParagraph"/>
              <w:numPr>
                <w:ilvl w:val="0"/>
                <w:numId w:val="4"/>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t>Ensure BI policies and donor requirements are integrated into project management and operational systems.</w:t>
            </w:r>
            <w:r w:rsidRPr="00A810CA">
              <w:rPr>
                <w:rFonts w:ascii="Arial" w:hAnsi="Arial" w:cs="Arial"/>
                <w:sz w:val="22"/>
                <w:szCs w:val="22"/>
                <w:lang w:val="en-US"/>
              </w:rPr>
              <w:t xml:space="preserve"> </w:t>
            </w:r>
          </w:p>
          <w:p w14:paraId="4FEA9390" w14:textId="77777777" w:rsidR="007D51F1" w:rsidRPr="007D51F1" w:rsidRDefault="007D51F1" w:rsidP="007D51F1">
            <w:pPr>
              <w:pStyle w:val="ListParagraph"/>
              <w:numPr>
                <w:ilvl w:val="0"/>
                <w:numId w:val="4"/>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t>Lead development of contracts and contract variations, for relevant approvals.</w:t>
            </w:r>
          </w:p>
          <w:p w14:paraId="08CA6EF6" w14:textId="77777777" w:rsidR="008372C0" w:rsidRDefault="007D51F1">
            <w:pPr>
              <w:pStyle w:val="ListParagraph"/>
              <w:numPr>
                <w:ilvl w:val="0"/>
                <w:numId w:val="4"/>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t>Monitor contract compliance and ensure timeliness of contractual outputs and invoices/payments – including donors and contractors.</w:t>
            </w:r>
          </w:p>
          <w:p w14:paraId="791F8BA3" w14:textId="77777777" w:rsidR="007D51F1" w:rsidRPr="007D51F1" w:rsidRDefault="007D51F1" w:rsidP="007D51F1">
            <w:pPr>
              <w:pStyle w:val="ListParagraph"/>
              <w:numPr>
                <w:ilvl w:val="0"/>
                <w:numId w:val="4"/>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t>Undertake regular monitoring visits, as required, to assist with the implementation and compliance with program/project-level M&amp;E.</w:t>
            </w:r>
          </w:p>
          <w:p w14:paraId="32420388" w14:textId="07E5F181" w:rsidR="007D51F1" w:rsidRPr="00A810CA" w:rsidRDefault="007D51F1" w:rsidP="00A810CA">
            <w:pPr>
              <w:pStyle w:val="ListParagraph"/>
              <w:spacing w:before="100" w:beforeAutospacing="1" w:after="100" w:afterAutospacing="1"/>
              <w:rPr>
                <w:rFonts w:ascii="Arial" w:hAnsi="Arial" w:cs="Arial"/>
                <w:sz w:val="22"/>
                <w:szCs w:val="22"/>
                <w:lang w:val="en-US"/>
              </w:rPr>
            </w:pPr>
          </w:p>
        </w:tc>
      </w:tr>
      <w:tr w:rsidR="008372C0" w:rsidRPr="00FD3201" w14:paraId="6D4000C9" w14:textId="77777777" w:rsidTr="00EC174C">
        <w:tc>
          <w:tcPr>
            <w:tcW w:w="365" w:type="dxa"/>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51A02775" w14:textId="77777777" w:rsidR="008372C0" w:rsidRPr="00FD3201" w:rsidRDefault="008372C0" w:rsidP="008372C0">
            <w:pPr>
              <w:numPr>
                <w:ilvl w:val="0"/>
                <w:numId w:val="3"/>
              </w:numPr>
              <w:rPr>
                <w:sz w:val="16"/>
                <w:szCs w:val="16"/>
              </w:rPr>
            </w:pPr>
          </w:p>
        </w:tc>
        <w:tc>
          <w:tcPr>
            <w:tcW w:w="180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08169A16" w14:textId="77777777" w:rsidR="008372C0" w:rsidRPr="001437D6" w:rsidRDefault="008372C0" w:rsidP="008372C0">
            <w:pPr>
              <w:jc w:val="left"/>
              <w:rPr>
                <w:rFonts w:cs="Arial"/>
                <w:b/>
                <w:sz w:val="22"/>
                <w:szCs w:val="22"/>
              </w:rPr>
            </w:pPr>
            <w:r w:rsidRPr="001437D6">
              <w:rPr>
                <w:rFonts w:cs="Arial"/>
                <w:b/>
                <w:sz w:val="22"/>
                <w:szCs w:val="22"/>
              </w:rPr>
              <w:t>Financial coordination &amp; reporting</w:t>
            </w:r>
          </w:p>
        </w:tc>
        <w:tc>
          <w:tcPr>
            <w:tcW w:w="756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61B6A431" w14:textId="599A92D7" w:rsidR="008372C0" w:rsidRDefault="008372C0" w:rsidP="00A810CA">
            <w:pPr>
              <w:pStyle w:val="ListParagraph"/>
              <w:spacing w:before="100" w:beforeAutospacing="1" w:after="100" w:afterAutospacing="1"/>
              <w:jc w:val="both"/>
              <w:rPr>
                <w:rFonts w:ascii="Arial" w:hAnsi="Arial" w:cs="Arial"/>
                <w:sz w:val="22"/>
                <w:szCs w:val="22"/>
                <w:lang w:val="en-US"/>
              </w:rPr>
            </w:pPr>
          </w:p>
          <w:p w14:paraId="6CA27502" w14:textId="40405FB8" w:rsidR="007D51F1" w:rsidRPr="007D51F1" w:rsidRDefault="007D51F1" w:rsidP="007D51F1">
            <w:pPr>
              <w:pStyle w:val="ListParagraph"/>
              <w:numPr>
                <w:ilvl w:val="0"/>
                <w:numId w:val="5"/>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t>With support from the finance team, undertake financial monitoring and analysis, including expenditure [budget v actual], budget and forecasting, contractual implications of activity variations; including support other activity leaders as appropriate.</w:t>
            </w:r>
          </w:p>
          <w:p w14:paraId="2F6FB9ED" w14:textId="77777777" w:rsidR="007D51F1" w:rsidRPr="007D51F1" w:rsidRDefault="007D51F1" w:rsidP="007D51F1">
            <w:pPr>
              <w:pStyle w:val="ListParagraph"/>
              <w:numPr>
                <w:ilvl w:val="0"/>
                <w:numId w:val="5"/>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t xml:space="preserve">Oversee financial reporting and invoicing to Donors. </w:t>
            </w:r>
          </w:p>
          <w:p w14:paraId="66C781EF" w14:textId="77B39AA3" w:rsidR="007D51F1" w:rsidRPr="00A810CA" w:rsidRDefault="007D51F1">
            <w:pPr>
              <w:pStyle w:val="ListParagraph"/>
              <w:numPr>
                <w:ilvl w:val="0"/>
                <w:numId w:val="5"/>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lastRenderedPageBreak/>
              <w:t>Lead audit processes in accordance with donor requirements</w:t>
            </w:r>
          </w:p>
          <w:p w14:paraId="0ED08B43" w14:textId="06A35B66" w:rsidR="007D51F1" w:rsidRPr="007D51F1" w:rsidRDefault="007D51F1" w:rsidP="007D51F1">
            <w:pPr>
              <w:pStyle w:val="ListParagraph"/>
              <w:numPr>
                <w:ilvl w:val="0"/>
                <w:numId w:val="5"/>
              </w:numPr>
              <w:spacing w:before="100" w:beforeAutospacing="1" w:after="100" w:afterAutospacing="1"/>
              <w:rPr>
                <w:rFonts w:ascii="Arial" w:hAnsi="Arial" w:cs="Arial"/>
                <w:sz w:val="22"/>
                <w:szCs w:val="22"/>
                <w:lang w:val="en-US"/>
              </w:rPr>
            </w:pPr>
            <w:r>
              <w:rPr>
                <w:rFonts w:ascii="Arial" w:hAnsi="Arial" w:cs="Arial"/>
                <w:sz w:val="22"/>
                <w:szCs w:val="22"/>
                <w:lang w:val="en-US"/>
              </w:rPr>
              <w:t>C</w:t>
            </w:r>
            <w:r w:rsidRPr="007D51F1">
              <w:rPr>
                <w:rFonts w:ascii="Arial" w:hAnsi="Arial" w:cs="Arial"/>
                <w:sz w:val="22"/>
                <w:szCs w:val="22"/>
                <w:lang w:val="en-US"/>
              </w:rPr>
              <w:t xml:space="preserve">oordinate project-level budgeting and planning with input from technical staff as needed. </w:t>
            </w:r>
          </w:p>
          <w:p w14:paraId="3D4DD061" w14:textId="04E8F03C" w:rsidR="007D51F1" w:rsidRPr="00A810CA" w:rsidRDefault="007D51F1" w:rsidP="00A810CA">
            <w:pPr>
              <w:pStyle w:val="ListParagraph"/>
              <w:numPr>
                <w:ilvl w:val="0"/>
                <w:numId w:val="5"/>
              </w:numPr>
              <w:spacing w:before="100" w:beforeAutospacing="1" w:after="100" w:afterAutospacing="1"/>
              <w:rPr>
                <w:rFonts w:ascii="Arial" w:hAnsi="Arial" w:cs="Arial"/>
                <w:sz w:val="22"/>
                <w:szCs w:val="22"/>
                <w:lang w:val="en-US"/>
              </w:rPr>
            </w:pPr>
            <w:r w:rsidRPr="007D51F1">
              <w:rPr>
                <w:rFonts w:ascii="Arial" w:hAnsi="Arial" w:cs="Arial"/>
                <w:sz w:val="22"/>
                <w:szCs w:val="22"/>
                <w:lang w:val="en-US"/>
              </w:rPr>
              <w:t xml:space="preserve">Ensure </w:t>
            </w:r>
            <w:r>
              <w:rPr>
                <w:rFonts w:ascii="Arial" w:hAnsi="Arial" w:cs="Arial"/>
                <w:sz w:val="22"/>
                <w:szCs w:val="22"/>
                <w:lang w:val="en-US"/>
              </w:rPr>
              <w:t xml:space="preserve">project is in compliance with the </w:t>
            </w:r>
            <w:r w:rsidRPr="007D51F1">
              <w:rPr>
                <w:rFonts w:ascii="Arial" w:hAnsi="Arial" w:cs="Arial"/>
                <w:sz w:val="22"/>
                <w:szCs w:val="22"/>
                <w:lang w:val="en-US"/>
              </w:rPr>
              <w:t>Finance Manual and reflects Burnet’s in-country and ongoing obligations.</w:t>
            </w:r>
          </w:p>
        </w:tc>
      </w:tr>
      <w:tr w:rsidR="008372C0" w:rsidRPr="00FD3201" w14:paraId="086C38D6" w14:textId="77777777" w:rsidTr="00EC174C">
        <w:tc>
          <w:tcPr>
            <w:tcW w:w="365" w:type="dxa"/>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4B6B2045" w14:textId="77777777" w:rsidR="008372C0" w:rsidRPr="00FD3201" w:rsidRDefault="008372C0" w:rsidP="008372C0">
            <w:pPr>
              <w:numPr>
                <w:ilvl w:val="0"/>
                <w:numId w:val="3"/>
              </w:numPr>
              <w:rPr>
                <w:sz w:val="16"/>
                <w:szCs w:val="16"/>
              </w:rPr>
            </w:pPr>
          </w:p>
        </w:tc>
        <w:tc>
          <w:tcPr>
            <w:tcW w:w="180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67C1DDA4" w14:textId="0EDEA7CE" w:rsidR="008372C0" w:rsidRPr="009301CA" w:rsidRDefault="007D51F1" w:rsidP="003C0DF1">
            <w:pPr>
              <w:jc w:val="left"/>
              <w:rPr>
                <w:rFonts w:cs="Arial"/>
                <w:b/>
                <w:sz w:val="22"/>
                <w:szCs w:val="22"/>
              </w:rPr>
            </w:pPr>
            <w:r>
              <w:rPr>
                <w:rFonts w:cs="Arial"/>
                <w:b/>
                <w:sz w:val="22"/>
                <w:szCs w:val="22"/>
              </w:rPr>
              <w:t>People management</w:t>
            </w:r>
          </w:p>
        </w:tc>
        <w:tc>
          <w:tcPr>
            <w:tcW w:w="756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2659D8E5" w14:textId="77777777" w:rsidR="007D51F1" w:rsidRPr="007D51F1" w:rsidRDefault="007D51F1" w:rsidP="007D51F1">
            <w:pPr>
              <w:numPr>
                <w:ilvl w:val="0"/>
                <w:numId w:val="6"/>
              </w:numPr>
              <w:jc w:val="left"/>
              <w:rPr>
                <w:rFonts w:cs="Arial"/>
                <w:sz w:val="22"/>
                <w:szCs w:val="22"/>
              </w:rPr>
            </w:pPr>
            <w:r w:rsidRPr="007D51F1">
              <w:rPr>
                <w:rFonts w:cs="Arial"/>
                <w:sz w:val="22"/>
                <w:szCs w:val="22"/>
              </w:rPr>
              <w:t>Lead recruitment and mobilisation of consultants including reviewing TORs, appointment processes, contract development &amp; orientation.</w:t>
            </w:r>
          </w:p>
          <w:p w14:paraId="5FE282F6" w14:textId="0134602E" w:rsidR="007D51F1" w:rsidRPr="007D51F1" w:rsidRDefault="007D51F1" w:rsidP="007D51F1">
            <w:pPr>
              <w:numPr>
                <w:ilvl w:val="0"/>
                <w:numId w:val="6"/>
              </w:numPr>
              <w:jc w:val="left"/>
              <w:rPr>
                <w:rFonts w:cs="Arial"/>
                <w:sz w:val="22"/>
                <w:szCs w:val="22"/>
              </w:rPr>
            </w:pPr>
            <w:r w:rsidRPr="007D51F1">
              <w:rPr>
                <w:rFonts w:cs="Arial"/>
                <w:sz w:val="22"/>
                <w:szCs w:val="22"/>
              </w:rPr>
              <w:t>Ensure HR procedures manual for the p</w:t>
            </w:r>
            <w:r w:rsidR="00F902BD">
              <w:rPr>
                <w:rFonts w:cs="Arial"/>
                <w:sz w:val="22"/>
                <w:szCs w:val="22"/>
              </w:rPr>
              <w:t>rojects</w:t>
            </w:r>
            <w:r w:rsidRPr="007D51F1">
              <w:rPr>
                <w:rFonts w:cs="Arial"/>
                <w:sz w:val="22"/>
                <w:szCs w:val="22"/>
              </w:rPr>
              <w:t xml:space="preserve"> is updated regularly and reflect Burnet and in-country obligations.</w:t>
            </w:r>
          </w:p>
          <w:p w14:paraId="0810D29B" w14:textId="3F164A20" w:rsidR="008372C0" w:rsidRPr="009301CA" w:rsidDel="00595B9A" w:rsidRDefault="008372C0" w:rsidP="00A810CA">
            <w:pPr>
              <w:pStyle w:val="ListParagraph"/>
              <w:spacing w:before="100" w:beforeAutospacing="1" w:after="100" w:afterAutospacing="1"/>
              <w:jc w:val="both"/>
              <w:rPr>
                <w:rFonts w:ascii="Arial" w:hAnsi="Arial" w:cs="Arial"/>
                <w:sz w:val="22"/>
                <w:szCs w:val="22"/>
                <w:lang w:val="en-US"/>
              </w:rPr>
            </w:pPr>
          </w:p>
        </w:tc>
      </w:tr>
      <w:tr w:rsidR="008372C0" w:rsidRPr="00FD3201" w14:paraId="2AD420D2" w14:textId="77777777" w:rsidTr="00EC174C">
        <w:tc>
          <w:tcPr>
            <w:tcW w:w="365" w:type="dxa"/>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3ACD29E2" w14:textId="77777777" w:rsidR="008372C0" w:rsidRPr="00FD3201" w:rsidRDefault="008372C0" w:rsidP="008372C0">
            <w:pPr>
              <w:numPr>
                <w:ilvl w:val="0"/>
                <w:numId w:val="3"/>
              </w:numPr>
              <w:rPr>
                <w:sz w:val="16"/>
                <w:szCs w:val="16"/>
              </w:rPr>
            </w:pPr>
          </w:p>
        </w:tc>
        <w:tc>
          <w:tcPr>
            <w:tcW w:w="180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6BCC8928" w14:textId="77777777" w:rsidR="008372C0" w:rsidRPr="009301CA" w:rsidRDefault="008372C0" w:rsidP="008372C0">
            <w:pPr>
              <w:jc w:val="left"/>
              <w:rPr>
                <w:rFonts w:cs="Arial"/>
                <w:b/>
                <w:sz w:val="22"/>
                <w:szCs w:val="22"/>
              </w:rPr>
            </w:pPr>
            <w:r w:rsidRPr="009301CA">
              <w:rPr>
                <w:rFonts w:cs="Arial"/>
                <w:b/>
                <w:sz w:val="22"/>
                <w:szCs w:val="22"/>
              </w:rPr>
              <w:t>Relationship Management</w:t>
            </w:r>
          </w:p>
        </w:tc>
        <w:tc>
          <w:tcPr>
            <w:tcW w:w="756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20B6BD5E" w14:textId="40C901AE" w:rsidR="008372C0" w:rsidRPr="003520BF" w:rsidRDefault="008372C0" w:rsidP="00A810CA">
            <w:pPr>
              <w:pStyle w:val="ListParagraph"/>
              <w:spacing w:before="100" w:beforeAutospacing="1" w:after="100" w:afterAutospacing="1"/>
              <w:jc w:val="both"/>
              <w:rPr>
                <w:rFonts w:ascii="Arial" w:hAnsi="Arial" w:cs="Arial"/>
                <w:sz w:val="22"/>
                <w:szCs w:val="22"/>
                <w:lang w:val="en-US"/>
              </w:rPr>
            </w:pPr>
            <w:r w:rsidRPr="003520BF">
              <w:rPr>
                <w:rFonts w:ascii="Arial" w:hAnsi="Arial" w:cs="Arial"/>
                <w:sz w:val="22"/>
                <w:szCs w:val="22"/>
                <w:lang w:val="en-US"/>
              </w:rPr>
              <w:t>.</w:t>
            </w:r>
          </w:p>
          <w:p w14:paraId="0A837D4B" w14:textId="7A524DA5" w:rsidR="00EA5B09" w:rsidRPr="00EA5B09" w:rsidRDefault="00EA5B09" w:rsidP="00EA5B09">
            <w:pPr>
              <w:pStyle w:val="ListParagraph"/>
              <w:numPr>
                <w:ilvl w:val="0"/>
                <w:numId w:val="5"/>
              </w:numPr>
              <w:spacing w:before="100" w:beforeAutospacing="1" w:after="100" w:afterAutospacing="1"/>
              <w:rPr>
                <w:rFonts w:ascii="Arial" w:hAnsi="Arial" w:cs="Arial"/>
                <w:sz w:val="22"/>
                <w:szCs w:val="22"/>
                <w:lang w:val="en-US"/>
              </w:rPr>
            </w:pPr>
            <w:r w:rsidRPr="00EA5B09">
              <w:rPr>
                <w:rFonts w:ascii="Arial" w:hAnsi="Arial" w:cs="Arial"/>
                <w:sz w:val="22"/>
                <w:szCs w:val="22"/>
                <w:lang w:val="en-US"/>
              </w:rPr>
              <w:t xml:space="preserve">Establish and enhance strong working relationships with Country Office and relevant technical staff. </w:t>
            </w:r>
          </w:p>
          <w:p w14:paraId="716A6D6D" w14:textId="77777777" w:rsidR="00EA5B09" w:rsidRPr="00EA5B09" w:rsidRDefault="00EA5B09" w:rsidP="00EA5B09">
            <w:pPr>
              <w:pStyle w:val="ListParagraph"/>
              <w:numPr>
                <w:ilvl w:val="0"/>
                <w:numId w:val="5"/>
              </w:numPr>
              <w:spacing w:before="100" w:beforeAutospacing="1" w:after="100" w:afterAutospacing="1"/>
              <w:rPr>
                <w:rFonts w:ascii="Arial" w:hAnsi="Arial" w:cs="Arial"/>
                <w:sz w:val="22"/>
                <w:szCs w:val="22"/>
                <w:lang w:val="en-US"/>
              </w:rPr>
            </w:pPr>
            <w:r w:rsidRPr="00EA5B09">
              <w:rPr>
                <w:rFonts w:ascii="Arial" w:hAnsi="Arial" w:cs="Arial"/>
                <w:sz w:val="22"/>
                <w:szCs w:val="22"/>
                <w:lang w:val="en-US"/>
              </w:rPr>
              <w:t xml:space="preserve">Establish and enhance strong relationships with key project stakeholders, including development partners and other implementing agencies. </w:t>
            </w:r>
          </w:p>
          <w:p w14:paraId="0BBE9E86" w14:textId="4F0324D5" w:rsidR="008372C0" w:rsidRPr="00EA5B09" w:rsidDel="00595B9A" w:rsidRDefault="008372C0" w:rsidP="00EA5B09">
            <w:pPr>
              <w:pStyle w:val="ListParagraph"/>
              <w:spacing w:before="100" w:beforeAutospacing="1" w:after="100" w:afterAutospacing="1"/>
              <w:jc w:val="both"/>
              <w:rPr>
                <w:rFonts w:ascii="Arial" w:hAnsi="Arial" w:cs="Arial"/>
                <w:sz w:val="22"/>
                <w:szCs w:val="22"/>
              </w:rPr>
            </w:pPr>
          </w:p>
        </w:tc>
      </w:tr>
      <w:tr w:rsidR="008372C0" w:rsidRPr="00FD3201" w14:paraId="6133D59A" w14:textId="77777777" w:rsidTr="00EC174C">
        <w:tc>
          <w:tcPr>
            <w:tcW w:w="365" w:type="dxa"/>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57BDC391" w14:textId="77777777" w:rsidR="008372C0" w:rsidRPr="00FD3201" w:rsidRDefault="008372C0" w:rsidP="008372C0">
            <w:pPr>
              <w:numPr>
                <w:ilvl w:val="0"/>
                <w:numId w:val="3"/>
              </w:numPr>
              <w:rPr>
                <w:sz w:val="16"/>
                <w:szCs w:val="16"/>
              </w:rPr>
            </w:pPr>
          </w:p>
        </w:tc>
        <w:tc>
          <w:tcPr>
            <w:tcW w:w="180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26047196" w14:textId="46A8DF96" w:rsidR="008372C0" w:rsidRPr="001C49B1" w:rsidRDefault="008372C0" w:rsidP="004E21D9">
            <w:pPr>
              <w:tabs>
                <w:tab w:val="left" w:pos="-720"/>
                <w:tab w:val="left" w:pos="0"/>
              </w:tabs>
              <w:suppressAutoHyphens/>
              <w:spacing w:before="0" w:after="0"/>
              <w:rPr>
                <w:rFonts w:cs="Arial"/>
                <w:b/>
                <w:szCs w:val="20"/>
              </w:rPr>
            </w:pPr>
            <w:r>
              <w:rPr>
                <w:rFonts w:cs="Arial"/>
                <w:b/>
                <w:szCs w:val="20"/>
              </w:rPr>
              <w:t>Security</w:t>
            </w:r>
            <w:r w:rsidR="004E21D9">
              <w:rPr>
                <w:rFonts w:cs="Arial"/>
                <w:b/>
                <w:szCs w:val="20"/>
              </w:rPr>
              <w:t xml:space="preserve"> &amp; risk management</w:t>
            </w:r>
          </w:p>
        </w:tc>
        <w:tc>
          <w:tcPr>
            <w:tcW w:w="7560"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5C5A8A43" w14:textId="694BF0A8" w:rsidR="00EA5B09" w:rsidRPr="00A810CA" w:rsidRDefault="00EA5B09" w:rsidP="00A810CA">
            <w:pPr>
              <w:pStyle w:val="ListParagraph"/>
              <w:numPr>
                <w:ilvl w:val="0"/>
                <w:numId w:val="5"/>
              </w:numPr>
              <w:spacing w:before="100" w:beforeAutospacing="1" w:after="100" w:afterAutospacing="1"/>
              <w:rPr>
                <w:rFonts w:ascii="Arial" w:hAnsi="Arial" w:cs="Arial"/>
                <w:sz w:val="22"/>
                <w:szCs w:val="20"/>
                <w:lang w:val="en-US"/>
              </w:rPr>
            </w:pPr>
            <w:r w:rsidRPr="00EA5B09">
              <w:rPr>
                <w:rFonts w:ascii="Arial" w:hAnsi="Arial" w:cs="Arial"/>
                <w:sz w:val="22"/>
                <w:szCs w:val="20"/>
                <w:lang w:val="en-US"/>
              </w:rPr>
              <w:t xml:space="preserve">Ensure Risk Management &amp; Security Plans are in place and updated regularly for in-country activities. </w:t>
            </w:r>
          </w:p>
          <w:p w14:paraId="2270ECA9" w14:textId="51272760" w:rsidR="008372C0" w:rsidRPr="00F45990" w:rsidDel="00595B9A" w:rsidRDefault="008372C0" w:rsidP="004E21D9">
            <w:pPr>
              <w:pStyle w:val="ListParagraph"/>
              <w:spacing w:before="100" w:beforeAutospacing="1" w:after="100" w:afterAutospacing="1"/>
              <w:jc w:val="both"/>
              <w:rPr>
                <w:rFonts w:ascii="Arial" w:hAnsi="Arial" w:cs="Arial"/>
                <w:sz w:val="22"/>
                <w:szCs w:val="20"/>
                <w:lang w:val="en-US"/>
              </w:rPr>
            </w:pPr>
          </w:p>
        </w:tc>
      </w:tr>
      <w:tr w:rsidR="008372C0" w:rsidRPr="00FD3201" w14:paraId="7B707201" w14:textId="77777777" w:rsidTr="00CB1D68">
        <w:tc>
          <w:tcPr>
            <w:tcW w:w="349" w:type="dxa"/>
            <w:tcBorders>
              <w:top w:val="single" w:sz="4" w:space="0" w:color="808080"/>
              <w:left w:val="single" w:sz="4" w:space="0" w:color="808080"/>
              <w:bottom w:val="single" w:sz="4" w:space="0" w:color="808080"/>
              <w:right w:val="single" w:sz="4" w:space="0" w:color="808080"/>
            </w:tcBorders>
            <w:shd w:val="clear" w:color="auto" w:fill="D9D9D9"/>
            <w:tcMar>
              <w:top w:w="0" w:type="dxa"/>
              <w:left w:w="57" w:type="dxa"/>
              <w:bottom w:w="0" w:type="dxa"/>
              <w:right w:w="57" w:type="dxa"/>
            </w:tcMar>
          </w:tcPr>
          <w:p w14:paraId="1C96565B" w14:textId="77777777" w:rsidR="008372C0" w:rsidRPr="00FD3201" w:rsidRDefault="008372C0" w:rsidP="008372C0">
            <w:pPr>
              <w:numPr>
                <w:ilvl w:val="0"/>
                <w:numId w:val="3"/>
              </w:numPr>
              <w:jc w:val="center"/>
              <w:rPr>
                <w:sz w:val="16"/>
                <w:szCs w:val="16"/>
              </w:rPr>
            </w:pPr>
          </w:p>
        </w:tc>
        <w:tc>
          <w:tcPr>
            <w:tcW w:w="2144"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4E7B99A1" w14:textId="77777777" w:rsidR="008372C0" w:rsidRPr="00FD3201" w:rsidRDefault="008372C0" w:rsidP="008372C0">
            <w:pPr>
              <w:pStyle w:val="Heading4"/>
              <w:rPr>
                <w:bCs/>
                <w:sz w:val="16"/>
                <w:szCs w:val="16"/>
              </w:rPr>
            </w:pPr>
            <w:r w:rsidRPr="008372C0">
              <w:rPr>
                <w:rFonts w:cs="Arial"/>
                <w:sz w:val="20"/>
                <w:szCs w:val="20"/>
              </w:rPr>
              <w:t>Occupational Health &amp; Safety</w:t>
            </w:r>
          </w:p>
        </w:tc>
        <w:tc>
          <w:tcPr>
            <w:tcW w:w="7232" w:type="dxa"/>
            <w:tcBorders>
              <w:top w:val="single" w:sz="4" w:space="0" w:color="808080"/>
              <w:left w:val="single" w:sz="4" w:space="0" w:color="808080"/>
              <w:bottom w:val="single" w:sz="4" w:space="0" w:color="808080"/>
              <w:right w:val="single" w:sz="4" w:space="0" w:color="808080"/>
            </w:tcBorders>
            <w:tcMar>
              <w:top w:w="0" w:type="dxa"/>
              <w:left w:w="57" w:type="dxa"/>
              <w:bottom w:w="0" w:type="dxa"/>
              <w:right w:w="57" w:type="dxa"/>
            </w:tcMar>
          </w:tcPr>
          <w:p w14:paraId="76C194A5" w14:textId="77777777" w:rsidR="008372C0" w:rsidRPr="001C1DB6" w:rsidRDefault="008372C0" w:rsidP="008372C0">
            <w:pPr>
              <w:rPr>
                <w:sz w:val="24"/>
                <w:szCs w:val="16"/>
              </w:rPr>
            </w:pPr>
            <w:r w:rsidRPr="001C1DB6">
              <w:rPr>
                <w:szCs w:val="16"/>
              </w:rPr>
              <w:t xml:space="preserve">Refer to the “Burnet OHS responsibilities and roles” document for full details on specific OHS obligations and responsibilities of </w:t>
            </w:r>
            <w:r w:rsidRPr="008372C0">
              <w:rPr>
                <w:szCs w:val="16"/>
              </w:rPr>
              <w:t>Employees.</w:t>
            </w:r>
          </w:p>
        </w:tc>
      </w:tr>
    </w:tbl>
    <w:p w14:paraId="23D27824" w14:textId="77777777" w:rsidR="00267E67" w:rsidRDefault="00267E67" w:rsidP="00267E67">
      <w:pPr>
        <w:pStyle w:val="Heading2"/>
      </w:pPr>
      <w:r>
        <w:t>Occupational Health and Safety</w:t>
      </w:r>
    </w:p>
    <w:p w14:paraId="5C57C695" w14:textId="77777777" w:rsidR="00267E67" w:rsidRPr="002D71AC" w:rsidRDefault="00267E67" w:rsidP="00267E67">
      <w:r>
        <w:rPr>
          <w:rFonts w:cs="Arial"/>
          <w:szCs w:val="20"/>
          <w:lang w:val="en-US"/>
        </w:rPr>
        <w:t>The Burnet has a commitment to providing a safe and healthy workplace in accordance with the Occupational Health and Safety Act 2004. All staff are obliged</w:t>
      </w:r>
      <w:r w:rsidRPr="002D71AC">
        <w:rPr>
          <w:rFonts w:cs="Arial"/>
          <w:szCs w:val="20"/>
          <w:lang w:val="en-US"/>
        </w:rPr>
        <w:t xml:space="preserve"> to </w:t>
      </w:r>
      <w:r>
        <w:rPr>
          <w:rFonts w:cs="Arial"/>
          <w:szCs w:val="20"/>
          <w:lang w:val="en-US"/>
        </w:rPr>
        <w:t>take all reasonable care to ensure that their actions do not place themselves or others at risk.</w:t>
      </w:r>
    </w:p>
    <w:p w14:paraId="2E6A233D" w14:textId="77777777" w:rsidR="008372C0" w:rsidRPr="00DA3DFB" w:rsidRDefault="008372C0" w:rsidP="00267E67">
      <w:pPr>
        <w:sectPr w:rsidR="008372C0" w:rsidRPr="00DA3DFB">
          <w:footerReference w:type="default" r:id="rId15"/>
          <w:type w:val="continuous"/>
          <w:pgSz w:w="11906" w:h="16838"/>
          <w:pgMar w:top="1079" w:right="1106" w:bottom="794" w:left="1080" w:header="709" w:footer="489" w:gutter="0"/>
          <w:cols w:space="708"/>
          <w:formProt w:val="0"/>
          <w:docGrid w:linePitch="360"/>
        </w:sectPr>
      </w:pPr>
    </w:p>
    <w:p w14:paraId="38D69E39" w14:textId="77777777" w:rsidR="00267E67" w:rsidRDefault="00267E67" w:rsidP="00267E67">
      <w:pPr>
        <w:pStyle w:val="Heading2"/>
      </w:pPr>
      <w:r w:rsidRPr="00FD3201">
        <w:lastRenderedPageBreak/>
        <w:t>SE</w:t>
      </w:r>
      <w:r>
        <w:t>CTION C:  Key Selection Criteria</w:t>
      </w:r>
    </w:p>
    <w:p w14:paraId="1C80B9FD" w14:textId="77777777" w:rsidR="00267E67" w:rsidRPr="00767E1B" w:rsidRDefault="00267E67" w:rsidP="00267E67"/>
    <w:p w14:paraId="116BEB1E" w14:textId="77777777" w:rsidR="00267E67" w:rsidRPr="00FD3201" w:rsidRDefault="00267E67" w:rsidP="00267E67">
      <w:pPr>
        <w:rPr>
          <w:rStyle w:val="Heading4Char"/>
          <w:sz w:val="16"/>
          <w:szCs w:val="16"/>
        </w:rPr>
        <w:sectPr w:rsidR="00267E67" w:rsidRPr="00FD3201">
          <w:type w:val="continuous"/>
          <w:pgSz w:w="11906" w:h="16838"/>
          <w:pgMar w:top="1079" w:right="1106" w:bottom="794" w:left="1080" w:header="709" w:footer="489" w:gutter="0"/>
          <w:cols w:space="708"/>
          <w:docGrid w:linePitch="360"/>
        </w:sectPr>
      </w:pPr>
    </w:p>
    <w:tbl>
      <w:tblPr>
        <w:tblW w:w="9725" w:type="dxa"/>
        <w:tblInd w:w="-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65"/>
        <w:gridCol w:w="8100"/>
        <w:gridCol w:w="1260"/>
      </w:tblGrid>
      <w:tr w:rsidR="00267E67" w:rsidRPr="00FD3201" w14:paraId="359E1286" w14:textId="77777777" w:rsidTr="00EC174C">
        <w:tc>
          <w:tcPr>
            <w:tcW w:w="8465" w:type="dxa"/>
            <w:gridSpan w:val="2"/>
            <w:tcBorders>
              <w:top w:val="single" w:sz="4" w:space="0" w:color="808080"/>
              <w:left w:val="single" w:sz="4" w:space="0" w:color="808080"/>
              <w:bottom w:val="single" w:sz="4" w:space="0" w:color="808080"/>
              <w:right w:val="single" w:sz="4" w:space="0" w:color="808080"/>
            </w:tcBorders>
            <w:shd w:val="clear" w:color="auto" w:fill="D9D9D9"/>
            <w:tcMar>
              <w:top w:w="28" w:type="dxa"/>
              <w:left w:w="57" w:type="dxa"/>
              <w:bottom w:w="28" w:type="dxa"/>
              <w:right w:w="57" w:type="dxa"/>
            </w:tcMar>
          </w:tcPr>
          <w:p w14:paraId="742786F5" w14:textId="77777777" w:rsidR="00267E67" w:rsidRPr="00FA627A" w:rsidRDefault="00267E67" w:rsidP="00EC174C">
            <w:pPr>
              <w:rPr>
                <w:sz w:val="24"/>
                <w:szCs w:val="16"/>
              </w:rPr>
            </w:pPr>
            <w:r w:rsidRPr="00FA627A">
              <w:rPr>
                <w:rStyle w:val="Heading4Char"/>
                <w:sz w:val="24"/>
                <w:szCs w:val="16"/>
              </w:rPr>
              <w:lastRenderedPageBreak/>
              <w:t>Qualifications</w:t>
            </w:r>
          </w:p>
        </w:tc>
        <w:tc>
          <w:tcPr>
            <w:tcW w:w="1260" w:type="dxa"/>
            <w:tcBorders>
              <w:top w:val="single" w:sz="4" w:space="0" w:color="808080"/>
              <w:left w:val="single" w:sz="4" w:space="0" w:color="808080"/>
              <w:bottom w:val="single" w:sz="4" w:space="0" w:color="808080"/>
              <w:right w:val="single" w:sz="4" w:space="0" w:color="808080"/>
            </w:tcBorders>
            <w:tcMar>
              <w:left w:w="57" w:type="dxa"/>
              <w:right w:w="57" w:type="dxa"/>
            </w:tcMar>
          </w:tcPr>
          <w:p w14:paraId="2B715386" w14:textId="77777777" w:rsidR="00267E67" w:rsidRPr="00FD3201" w:rsidRDefault="00267E67" w:rsidP="00EC174C">
            <w:pPr>
              <w:rPr>
                <w:sz w:val="16"/>
                <w:szCs w:val="16"/>
              </w:rPr>
            </w:pPr>
            <w:r w:rsidRPr="00FD3201">
              <w:rPr>
                <w:sz w:val="16"/>
                <w:szCs w:val="16"/>
              </w:rPr>
              <w:t>Essential/ Preferable</w:t>
            </w:r>
          </w:p>
        </w:tc>
      </w:tr>
      <w:tr w:rsidR="008372C0" w:rsidRPr="00FD3201" w14:paraId="630ABC85" w14:textId="77777777" w:rsidTr="00EC174C">
        <w:tc>
          <w:tcPr>
            <w:tcW w:w="365"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0C39662A" w14:textId="77777777" w:rsidR="008372C0" w:rsidRPr="00EA5B09" w:rsidRDefault="008372C0" w:rsidP="00267E67">
            <w:pPr>
              <w:numPr>
                <w:ilvl w:val="0"/>
                <w:numId w:val="1"/>
              </w:numPr>
              <w:rPr>
                <w:rFonts w:cs="Arial"/>
                <w:sz w:val="16"/>
                <w:szCs w:val="16"/>
              </w:rPr>
            </w:pPr>
          </w:p>
        </w:tc>
        <w:tc>
          <w:tcPr>
            <w:tcW w:w="8100" w:type="dxa"/>
            <w:tcBorders>
              <w:top w:val="single" w:sz="4" w:space="0" w:color="808080"/>
              <w:left w:val="single" w:sz="4" w:space="0" w:color="808080"/>
              <w:bottom w:val="single" w:sz="4" w:space="0" w:color="808080"/>
              <w:right w:val="single" w:sz="4" w:space="0" w:color="808080"/>
            </w:tcBorders>
            <w:tcMar>
              <w:left w:w="57" w:type="dxa"/>
              <w:right w:w="57" w:type="dxa"/>
            </w:tcMar>
          </w:tcPr>
          <w:p w14:paraId="111117AD" w14:textId="6FC11C2B" w:rsidR="008372C0" w:rsidRPr="00CB1D68" w:rsidRDefault="00EA5B09" w:rsidP="00CB1D68">
            <w:pPr>
              <w:autoSpaceDE w:val="0"/>
              <w:autoSpaceDN w:val="0"/>
              <w:adjustRightInd w:val="0"/>
              <w:spacing w:before="0" w:after="0"/>
              <w:jc w:val="left"/>
              <w:rPr>
                <w:rFonts w:cs="Arial"/>
                <w:sz w:val="22"/>
              </w:rPr>
            </w:pPr>
            <w:r w:rsidRPr="00EA5B09">
              <w:rPr>
                <w:rFonts w:cs="Arial"/>
                <w:color w:val="000000"/>
                <w:sz w:val="22"/>
              </w:rPr>
              <w:t xml:space="preserve">University degree </w:t>
            </w:r>
            <w:r w:rsidR="00CB1D68">
              <w:rPr>
                <w:rFonts w:cs="Arial"/>
                <w:color w:val="000000"/>
                <w:sz w:val="22"/>
              </w:rPr>
              <w:t xml:space="preserve">or relevant experience </w:t>
            </w:r>
            <w:r w:rsidRPr="00EA5B09">
              <w:rPr>
                <w:rFonts w:cs="Arial"/>
                <w:color w:val="000000"/>
                <w:sz w:val="22"/>
              </w:rPr>
              <w:t xml:space="preserve">in </w:t>
            </w:r>
            <w:r w:rsidR="00CB1D68">
              <w:rPr>
                <w:rFonts w:cs="Arial"/>
                <w:color w:val="000000"/>
                <w:sz w:val="22"/>
              </w:rPr>
              <w:t xml:space="preserve">international </w:t>
            </w:r>
            <w:r w:rsidRPr="00EA5B09">
              <w:rPr>
                <w:rFonts w:cs="Arial"/>
                <w:color w:val="000000"/>
                <w:sz w:val="22"/>
              </w:rPr>
              <w:t>development</w:t>
            </w:r>
            <w:r w:rsidR="00CB1D68">
              <w:rPr>
                <w:rFonts w:cs="Arial"/>
                <w:color w:val="000000"/>
                <w:sz w:val="22"/>
              </w:rPr>
              <w:t xml:space="preserve"> and/ or research project management</w:t>
            </w:r>
          </w:p>
        </w:tc>
        <w:tc>
          <w:tcPr>
            <w:tcW w:w="1260" w:type="dxa"/>
            <w:tcBorders>
              <w:top w:val="single" w:sz="4" w:space="0" w:color="808080"/>
              <w:left w:val="single" w:sz="4" w:space="0" w:color="808080"/>
              <w:bottom w:val="single" w:sz="4" w:space="0" w:color="808080"/>
              <w:right w:val="single" w:sz="4" w:space="0" w:color="808080"/>
            </w:tcBorders>
            <w:tcMar>
              <w:left w:w="57" w:type="dxa"/>
              <w:right w:w="57" w:type="dxa"/>
            </w:tcMar>
            <w:vAlign w:val="center"/>
          </w:tcPr>
          <w:p w14:paraId="57C60716" w14:textId="57966006" w:rsidR="008372C0" w:rsidRPr="00FD3201" w:rsidRDefault="00EA5B09" w:rsidP="00EC174C">
            <w:pPr>
              <w:rPr>
                <w:sz w:val="16"/>
                <w:szCs w:val="16"/>
              </w:rPr>
            </w:pPr>
            <w:r>
              <w:rPr>
                <w:sz w:val="16"/>
                <w:szCs w:val="16"/>
              </w:rPr>
              <w:t>Desirable</w:t>
            </w:r>
          </w:p>
        </w:tc>
      </w:tr>
    </w:tbl>
    <w:p w14:paraId="2D44417C" w14:textId="77777777" w:rsidR="00CB1D68" w:rsidRPr="00FD3201" w:rsidRDefault="00CB1D68" w:rsidP="00267E67">
      <w:pPr>
        <w:rPr>
          <w:sz w:val="16"/>
          <w:szCs w:val="16"/>
        </w:rPr>
      </w:pPr>
    </w:p>
    <w:tbl>
      <w:tblPr>
        <w:tblW w:w="9777" w:type="dxa"/>
        <w:tblInd w:w="-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54"/>
        <w:gridCol w:w="8206"/>
        <w:gridCol w:w="1317"/>
      </w:tblGrid>
      <w:tr w:rsidR="00267E67" w:rsidRPr="00FD3201" w14:paraId="5AA0BAD7" w14:textId="77777777" w:rsidTr="00EC174C">
        <w:tc>
          <w:tcPr>
            <w:tcW w:w="8460" w:type="dxa"/>
            <w:gridSpan w:val="2"/>
            <w:tcBorders>
              <w:top w:val="single" w:sz="4" w:space="0" w:color="808080"/>
              <w:left w:val="single" w:sz="4" w:space="0" w:color="808080"/>
              <w:bottom w:val="single" w:sz="4" w:space="0" w:color="808080"/>
              <w:right w:val="single" w:sz="4" w:space="0" w:color="808080"/>
            </w:tcBorders>
            <w:shd w:val="clear" w:color="auto" w:fill="D9D9D9"/>
            <w:tcMar>
              <w:top w:w="28" w:type="dxa"/>
              <w:left w:w="57" w:type="dxa"/>
              <w:bottom w:w="28" w:type="dxa"/>
              <w:right w:w="57" w:type="dxa"/>
            </w:tcMar>
          </w:tcPr>
          <w:p w14:paraId="22D97525" w14:textId="77777777" w:rsidR="00267E67" w:rsidRPr="00FD3201" w:rsidRDefault="00267E67" w:rsidP="00EC174C">
            <w:pPr>
              <w:rPr>
                <w:sz w:val="16"/>
                <w:szCs w:val="16"/>
              </w:rPr>
            </w:pPr>
            <w:r w:rsidRPr="00620BD4">
              <w:rPr>
                <w:rStyle w:val="Heading4Char"/>
                <w:sz w:val="24"/>
                <w:szCs w:val="16"/>
              </w:rPr>
              <w:t>Experience / Knowledge / Attributes</w:t>
            </w:r>
          </w:p>
        </w:tc>
        <w:tc>
          <w:tcPr>
            <w:tcW w:w="1317" w:type="dxa"/>
            <w:tcBorders>
              <w:top w:val="single" w:sz="4" w:space="0" w:color="808080"/>
              <w:left w:val="single" w:sz="4" w:space="0" w:color="808080"/>
              <w:bottom w:val="single" w:sz="4" w:space="0" w:color="808080"/>
              <w:right w:val="single" w:sz="4" w:space="0" w:color="808080"/>
            </w:tcBorders>
            <w:shd w:val="clear" w:color="auto" w:fill="D9D9D9"/>
          </w:tcPr>
          <w:p w14:paraId="0B6FC9E3" w14:textId="77777777" w:rsidR="00267E67" w:rsidRPr="00FD3201" w:rsidRDefault="00267E67" w:rsidP="00EC174C">
            <w:pPr>
              <w:rPr>
                <w:rStyle w:val="Heading4Char"/>
                <w:sz w:val="16"/>
                <w:szCs w:val="16"/>
              </w:rPr>
            </w:pPr>
          </w:p>
        </w:tc>
      </w:tr>
      <w:tr w:rsidR="008372C0" w:rsidRPr="00FD3201" w14:paraId="3E9BF81F"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632CBED8" w14:textId="77777777" w:rsidR="008372C0" w:rsidRPr="00FD3201" w:rsidRDefault="008372C0"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46A23E28" w14:textId="36162B04" w:rsidR="008372C0" w:rsidRPr="00EA5B09" w:rsidRDefault="00EA5B09" w:rsidP="004E21D9">
            <w:pPr>
              <w:autoSpaceDE w:val="0"/>
              <w:autoSpaceDN w:val="0"/>
              <w:adjustRightInd w:val="0"/>
              <w:spacing w:before="0" w:after="0"/>
              <w:jc w:val="left"/>
              <w:rPr>
                <w:rFonts w:cs="Arial"/>
                <w:sz w:val="22"/>
              </w:rPr>
            </w:pPr>
            <w:r w:rsidRPr="00EA5B09">
              <w:rPr>
                <w:rFonts w:cs="Arial"/>
                <w:sz w:val="22"/>
              </w:rPr>
              <w:t xml:space="preserve">Significant experience in the management and implementation of </w:t>
            </w:r>
            <w:r w:rsidR="004E21D9">
              <w:rPr>
                <w:rFonts w:cs="Arial"/>
                <w:sz w:val="22"/>
              </w:rPr>
              <w:t xml:space="preserve">large </w:t>
            </w:r>
            <w:r w:rsidRPr="00EA5B09">
              <w:rPr>
                <w:rFonts w:cs="Arial"/>
                <w:sz w:val="22"/>
              </w:rPr>
              <w:t xml:space="preserve">development </w:t>
            </w:r>
            <w:r>
              <w:rPr>
                <w:rFonts w:cs="Arial"/>
                <w:sz w:val="22"/>
              </w:rPr>
              <w:t xml:space="preserve">and /or research </w:t>
            </w:r>
            <w:r w:rsidRPr="00EA5B09">
              <w:rPr>
                <w:rFonts w:cs="Arial"/>
                <w:sz w:val="22"/>
              </w:rPr>
              <w:t>project</w:t>
            </w:r>
            <w:r w:rsidR="004E21D9">
              <w:rPr>
                <w:rFonts w:cs="Arial"/>
                <w:sz w:val="22"/>
              </w:rPr>
              <w:t>s</w:t>
            </w:r>
            <w:r w:rsidR="001D0CCE">
              <w:rPr>
                <w:rFonts w:cs="Arial"/>
                <w:sz w:val="22"/>
              </w:rPr>
              <w:t>,</w:t>
            </w:r>
            <w:r w:rsidR="009A301B">
              <w:rPr>
                <w:rFonts w:cs="Arial"/>
                <w:sz w:val="22"/>
              </w:rPr>
              <w:t xml:space="preserve"> particularly in PNG.</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59376EA1" w14:textId="77777777" w:rsidR="008372C0" w:rsidRDefault="008372C0" w:rsidP="00EC174C">
            <w:r w:rsidRPr="00435A78">
              <w:rPr>
                <w:sz w:val="16"/>
                <w:szCs w:val="16"/>
              </w:rPr>
              <w:t>Essential</w:t>
            </w:r>
          </w:p>
        </w:tc>
      </w:tr>
      <w:tr w:rsidR="008372C0" w:rsidRPr="00FD3201" w14:paraId="412CD91E"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008A8ABE" w14:textId="77777777" w:rsidR="008372C0" w:rsidRPr="00FD3201" w:rsidRDefault="008372C0"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5DF94774" w14:textId="794D3B25" w:rsidR="008372C0" w:rsidRPr="00CB1D68" w:rsidRDefault="00CB1D68" w:rsidP="00CB1D68">
            <w:pPr>
              <w:autoSpaceDE w:val="0"/>
              <w:autoSpaceDN w:val="0"/>
              <w:adjustRightInd w:val="0"/>
              <w:spacing w:before="0" w:after="0"/>
              <w:jc w:val="left"/>
              <w:rPr>
                <w:rFonts w:cs="Arial"/>
                <w:sz w:val="22"/>
              </w:rPr>
            </w:pPr>
            <w:r w:rsidRPr="00EA5B09">
              <w:rPr>
                <w:rFonts w:cs="Arial"/>
                <w:sz w:val="22"/>
              </w:rPr>
              <w:t xml:space="preserve">Demonstrated donor experience: review, negotiation and compliance management with Donor contracts, policies and procedures, including </w:t>
            </w:r>
            <w:r>
              <w:rPr>
                <w:rFonts w:cs="Arial"/>
                <w:sz w:val="22"/>
              </w:rPr>
              <w:t>project reporting to key stakeholders</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3F372254" w14:textId="77777777" w:rsidR="008372C0" w:rsidRDefault="008372C0" w:rsidP="00EC174C">
            <w:r w:rsidRPr="00435A78">
              <w:rPr>
                <w:sz w:val="16"/>
                <w:szCs w:val="16"/>
              </w:rPr>
              <w:t>Essential</w:t>
            </w:r>
          </w:p>
        </w:tc>
      </w:tr>
      <w:tr w:rsidR="00CB1D68" w:rsidRPr="00FD3201" w14:paraId="53E58018"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69EF5646" w14:textId="77777777" w:rsidR="00CB1D68" w:rsidRPr="00FD3201" w:rsidRDefault="00CB1D68"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1DCDAE99" w14:textId="31B433CC" w:rsidR="00CB1D68" w:rsidRPr="00CB1D68" w:rsidRDefault="00CB1D68" w:rsidP="00CB1D68">
            <w:pPr>
              <w:spacing w:before="0" w:after="0"/>
              <w:contextualSpacing/>
              <w:jc w:val="left"/>
              <w:rPr>
                <w:rFonts w:cs="Arial"/>
                <w:sz w:val="22"/>
              </w:rPr>
            </w:pPr>
            <w:r w:rsidRPr="00EA5B09">
              <w:rPr>
                <w:rFonts w:cs="Arial"/>
                <w:sz w:val="22"/>
              </w:rPr>
              <w:t>Excellent knowledge of Australian development sector &amp; global aid architecture</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76AFDE06" w14:textId="3101BD14" w:rsidR="00CB1D68" w:rsidRPr="00435A78" w:rsidRDefault="00CB1D68" w:rsidP="00EC174C">
            <w:pPr>
              <w:rPr>
                <w:sz w:val="16"/>
                <w:szCs w:val="16"/>
              </w:rPr>
            </w:pPr>
            <w:r w:rsidRPr="00435A78">
              <w:rPr>
                <w:sz w:val="16"/>
                <w:szCs w:val="16"/>
              </w:rPr>
              <w:t>Essential</w:t>
            </w:r>
          </w:p>
        </w:tc>
      </w:tr>
      <w:tr w:rsidR="00CB1D68" w:rsidRPr="00FD3201" w14:paraId="50591160"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71798C79" w14:textId="77777777" w:rsidR="00CB1D68" w:rsidRPr="00FD3201" w:rsidRDefault="00CB1D68"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5F0F02A7" w14:textId="0859E2B9" w:rsidR="00CB1D68" w:rsidRPr="00EA5B09" w:rsidRDefault="00CB1D68" w:rsidP="00CB1D68">
            <w:pPr>
              <w:spacing w:before="0" w:after="0"/>
              <w:contextualSpacing/>
              <w:jc w:val="left"/>
              <w:rPr>
                <w:rFonts w:cs="Arial"/>
                <w:sz w:val="22"/>
              </w:rPr>
            </w:pPr>
            <w:r>
              <w:rPr>
                <w:rFonts w:cs="Arial"/>
                <w:sz w:val="22"/>
                <w:szCs w:val="20"/>
                <w:lang w:val="en-US"/>
              </w:rPr>
              <w:t>Excellent administrative and organizational skills</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5DE5B4E1" w14:textId="2ABF78F7" w:rsidR="00CB1D68" w:rsidRPr="00435A78" w:rsidRDefault="00CB1D68" w:rsidP="00EC174C">
            <w:pPr>
              <w:rPr>
                <w:sz w:val="16"/>
                <w:szCs w:val="16"/>
              </w:rPr>
            </w:pPr>
            <w:r w:rsidRPr="00435A78">
              <w:rPr>
                <w:sz w:val="16"/>
                <w:szCs w:val="16"/>
              </w:rPr>
              <w:t>Essential</w:t>
            </w:r>
          </w:p>
        </w:tc>
      </w:tr>
      <w:tr w:rsidR="00CB1D68" w:rsidRPr="00FD3201" w14:paraId="0B66ACAD"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174DE6B1" w14:textId="77777777" w:rsidR="00CB1D68" w:rsidRPr="00FD3201" w:rsidRDefault="00CB1D68"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2297D5CA" w14:textId="6933D940" w:rsidR="00CB1D68" w:rsidRPr="00CB1D68" w:rsidRDefault="00CB1D68" w:rsidP="00CB1D68">
            <w:pPr>
              <w:spacing w:before="0" w:after="0"/>
              <w:jc w:val="left"/>
              <w:rPr>
                <w:rFonts w:cs="Arial"/>
                <w:sz w:val="22"/>
                <w:szCs w:val="22"/>
              </w:rPr>
            </w:pPr>
            <w:r w:rsidRPr="00EA5B09">
              <w:rPr>
                <w:rFonts w:cs="Arial"/>
                <w:sz w:val="22"/>
              </w:rPr>
              <w:t xml:space="preserve">Excellent </w:t>
            </w:r>
            <w:r w:rsidRPr="00EA5B09">
              <w:rPr>
                <w:rFonts w:cs="Arial"/>
                <w:sz w:val="22"/>
                <w:szCs w:val="22"/>
              </w:rPr>
              <w:t xml:space="preserve">financial and contract management skills, including budget preparation, monitoring, acquittal and report preparation </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35F176C8" w14:textId="0E906743" w:rsidR="00CB1D68" w:rsidRPr="00435A78" w:rsidRDefault="00CB1D68" w:rsidP="00EC174C">
            <w:pPr>
              <w:rPr>
                <w:sz w:val="16"/>
                <w:szCs w:val="16"/>
              </w:rPr>
            </w:pPr>
            <w:r w:rsidRPr="00435A78">
              <w:rPr>
                <w:sz w:val="16"/>
                <w:szCs w:val="16"/>
              </w:rPr>
              <w:t>Essential</w:t>
            </w:r>
          </w:p>
        </w:tc>
      </w:tr>
      <w:tr w:rsidR="00CB1D68" w:rsidRPr="00FD3201" w14:paraId="6C6069C7"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21B3847E" w14:textId="77777777" w:rsidR="00CB1D68" w:rsidRPr="00FD3201" w:rsidRDefault="00CB1D68"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7EEE8F04" w14:textId="05224951" w:rsidR="00CB1D68" w:rsidRPr="00CB1D68" w:rsidRDefault="00CB1D68" w:rsidP="00CB1D68">
            <w:pPr>
              <w:autoSpaceDE w:val="0"/>
              <w:autoSpaceDN w:val="0"/>
              <w:adjustRightInd w:val="0"/>
              <w:spacing w:before="0" w:after="0"/>
              <w:jc w:val="left"/>
              <w:rPr>
                <w:rFonts w:cs="Arial"/>
                <w:sz w:val="22"/>
              </w:rPr>
            </w:pPr>
            <w:r w:rsidRPr="00EA5B09">
              <w:rPr>
                <w:rFonts w:cs="Arial"/>
                <w:sz w:val="22"/>
              </w:rPr>
              <w:t>Experience in recruitment, contracting and mobilization of consultants and technical advisers</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20F183F7" w14:textId="54D62C69" w:rsidR="00CB1D68" w:rsidRPr="00435A78" w:rsidRDefault="00CB1D68" w:rsidP="00EC174C">
            <w:pPr>
              <w:rPr>
                <w:sz w:val="16"/>
                <w:szCs w:val="16"/>
              </w:rPr>
            </w:pPr>
            <w:r w:rsidRPr="00435A78">
              <w:rPr>
                <w:sz w:val="16"/>
                <w:szCs w:val="16"/>
              </w:rPr>
              <w:t>Essential</w:t>
            </w:r>
          </w:p>
        </w:tc>
      </w:tr>
      <w:tr w:rsidR="00CB1D68" w:rsidRPr="00FD3201" w14:paraId="5A20E836"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2BB9B065" w14:textId="77777777" w:rsidR="00CB1D68" w:rsidRPr="00FD3201" w:rsidRDefault="00CB1D68"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0DB0DE73" w14:textId="0D8AEBE5" w:rsidR="00CB1D68" w:rsidRPr="00CB1D68" w:rsidRDefault="00CB1D68" w:rsidP="00EC174C">
            <w:pPr>
              <w:spacing w:before="100" w:beforeAutospacing="1" w:after="100" w:afterAutospacing="1"/>
              <w:rPr>
                <w:rFonts w:cs="Arial"/>
                <w:sz w:val="22"/>
                <w:szCs w:val="20"/>
                <w:lang w:val="en-US"/>
              </w:rPr>
            </w:pPr>
            <w:r w:rsidRPr="00CB1D68">
              <w:rPr>
                <w:rFonts w:cs="Arial"/>
                <w:sz w:val="22"/>
                <w:szCs w:val="20"/>
                <w:lang w:val="en-US"/>
              </w:rPr>
              <w:t xml:space="preserve">Excellent relationship management and communication skills, including clients, counterpart agencies and colleagues within cross-cultural teams in Australia or </w:t>
            </w:r>
            <w:r w:rsidRPr="00CB1D68">
              <w:rPr>
                <w:rFonts w:cs="Arial"/>
                <w:sz w:val="22"/>
                <w:szCs w:val="20"/>
                <w:lang w:val="en-US"/>
              </w:rPr>
              <w:lastRenderedPageBreak/>
              <w:t>overseas</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55528764" w14:textId="3772A564" w:rsidR="00CB1D68" w:rsidRPr="00435A78" w:rsidRDefault="00CB1D68" w:rsidP="00EC174C">
            <w:pPr>
              <w:rPr>
                <w:sz w:val="16"/>
                <w:szCs w:val="16"/>
              </w:rPr>
            </w:pPr>
            <w:r w:rsidRPr="00435A78">
              <w:rPr>
                <w:sz w:val="16"/>
                <w:szCs w:val="16"/>
              </w:rPr>
              <w:lastRenderedPageBreak/>
              <w:t>Essential</w:t>
            </w:r>
          </w:p>
        </w:tc>
      </w:tr>
      <w:tr w:rsidR="008372C0" w:rsidRPr="00FD3201" w14:paraId="254B4672"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5E67C46D" w14:textId="77777777" w:rsidR="008372C0" w:rsidRPr="00FD3201" w:rsidRDefault="008372C0"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4DE774D2" w14:textId="77777777" w:rsidR="008372C0" w:rsidRPr="00F45990" w:rsidRDefault="008372C0" w:rsidP="00EC174C">
            <w:pPr>
              <w:spacing w:before="100" w:beforeAutospacing="1" w:after="100" w:afterAutospacing="1"/>
              <w:rPr>
                <w:rFonts w:cs="Arial"/>
                <w:sz w:val="22"/>
                <w:szCs w:val="20"/>
                <w:lang w:val="en-US"/>
              </w:rPr>
            </w:pPr>
            <w:r w:rsidRPr="00F45990">
              <w:rPr>
                <w:rFonts w:cs="Arial"/>
                <w:sz w:val="22"/>
                <w:szCs w:val="20"/>
                <w:lang w:val="en-US"/>
              </w:rPr>
              <w:t>Demonstrated capacity to work independently exercising strong judgement, decision-making and problem-solving skills</w:t>
            </w:r>
            <w:r>
              <w:rPr>
                <w:rFonts w:cs="Arial"/>
                <w:sz w:val="22"/>
                <w:szCs w:val="20"/>
                <w:lang w:val="en-US"/>
              </w:rPr>
              <w:t>.</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4379735B" w14:textId="77777777" w:rsidR="008372C0" w:rsidRDefault="008372C0" w:rsidP="00EC174C">
            <w:r w:rsidRPr="00435A78">
              <w:rPr>
                <w:sz w:val="16"/>
                <w:szCs w:val="16"/>
              </w:rPr>
              <w:t>Essential</w:t>
            </w:r>
          </w:p>
        </w:tc>
      </w:tr>
      <w:tr w:rsidR="008372C0" w:rsidRPr="00FD3201" w14:paraId="2238BBF0"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53D55B7E" w14:textId="77777777" w:rsidR="008372C0" w:rsidRPr="00FD3201" w:rsidRDefault="008372C0"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3B23E2BD" w14:textId="3EEE9A8D" w:rsidR="008372C0" w:rsidRPr="006C6740" w:rsidRDefault="003C0DF1" w:rsidP="00557B5F">
            <w:pPr>
              <w:spacing w:before="100" w:beforeAutospacing="1" w:after="100" w:afterAutospacing="1"/>
              <w:rPr>
                <w:rFonts w:cs="Arial"/>
                <w:sz w:val="22"/>
                <w:szCs w:val="20"/>
                <w:lang w:val="en-US"/>
              </w:rPr>
            </w:pPr>
            <w:r w:rsidRPr="00F45990">
              <w:rPr>
                <w:rFonts w:cs="Arial"/>
                <w:sz w:val="22"/>
                <w:szCs w:val="20"/>
                <w:lang w:val="en-US"/>
              </w:rPr>
              <w:t>Experience working</w:t>
            </w:r>
            <w:r w:rsidR="00557B5F">
              <w:rPr>
                <w:rFonts w:cs="Arial"/>
                <w:sz w:val="22"/>
                <w:szCs w:val="20"/>
                <w:lang w:val="en-US"/>
              </w:rPr>
              <w:t xml:space="preserve"> with monitoring and evaluation frameworks and</w:t>
            </w:r>
            <w:r w:rsidRPr="00F45990">
              <w:rPr>
                <w:rFonts w:cs="Arial"/>
                <w:sz w:val="22"/>
                <w:szCs w:val="20"/>
                <w:lang w:val="en-US"/>
              </w:rPr>
              <w:t xml:space="preserve"> </w:t>
            </w:r>
            <w:r>
              <w:rPr>
                <w:rFonts w:cs="Arial"/>
                <w:sz w:val="22"/>
                <w:szCs w:val="20"/>
                <w:lang w:val="en-US"/>
              </w:rPr>
              <w:t>d</w:t>
            </w:r>
            <w:r w:rsidRPr="00F45990">
              <w:rPr>
                <w:rFonts w:cs="Arial"/>
                <w:sz w:val="22"/>
                <w:szCs w:val="20"/>
                <w:lang w:val="en-US"/>
              </w:rPr>
              <w:t>atabases</w:t>
            </w:r>
            <w:r>
              <w:rPr>
                <w:rFonts w:cs="Arial"/>
                <w:sz w:val="22"/>
                <w:szCs w:val="20"/>
                <w:lang w:val="en-US"/>
              </w:rPr>
              <w:t>, ideally within a health program</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6ABE5110" w14:textId="77777777" w:rsidR="008372C0" w:rsidRPr="00FD3201" w:rsidRDefault="008372C0" w:rsidP="00EC174C">
            <w:pPr>
              <w:rPr>
                <w:sz w:val="16"/>
                <w:szCs w:val="16"/>
              </w:rPr>
            </w:pPr>
            <w:r>
              <w:rPr>
                <w:sz w:val="16"/>
                <w:szCs w:val="16"/>
              </w:rPr>
              <w:t>Desirable</w:t>
            </w:r>
          </w:p>
        </w:tc>
      </w:tr>
      <w:tr w:rsidR="004E21D9" w:rsidRPr="00FD3201" w14:paraId="72C65654" w14:textId="77777777" w:rsidTr="00EC174C">
        <w:tc>
          <w:tcPr>
            <w:tcW w:w="254" w:type="dxa"/>
            <w:tcBorders>
              <w:top w:val="single" w:sz="4" w:space="0" w:color="808080"/>
              <w:left w:val="single" w:sz="4" w:space="0" w:color="808080"/>
              <w:bottom w:val="single" w:sz="4" w:space="0" w:color="808080"/>
              <w:right w:val="single" w:sz="4" w:space="0" w:color="808080"/>
            </w:tcBorders>
            <w:shd w:val="clear" w:color="auto" w:fill="D9D9D9"/>
            <w:tcMar>
              <w:left w:w="57" w:type="dxa"/>
              <w:right w:w="57" w:type="dxa"/>
            </w:tcMar>
          </w:tcPr>
          <w:p w14:paraId="40B88038" w14:textId="77777777" w:rsidR="004E21D9" w:rsidRPr="00FD3201" w:rsidRDefault="004E21D9" w:rsidP="00267E67">
            <w:pPr>
              <w:numPr>
                <w:ilvl w:val="0"/>
                <w:numId w:val="2"/>
              </w:numPr>
              <w:rPr>
                <w:sz w:val="16"/>
                <w:szCs w:val="16"/>
              </w:rPr>
            </w:pPr>
          </w:p>
        </w:tc>
        <w:tc>
          <w:tcPr>
            <w:tcW w:w="8206" w:type="dxa"/>
            <w:tcBorders>
              <w:top w:val="single" w:sz="4" w:space="0" w:color="808080"/>
              <w:left w:val="single" w:sz="4" w:space="0" w:color="808080"/>
              <w:bottom w:val="single" w:sz="4" w:space="0" w:color="808080"/>
              <w:right w:val="single" w:sz="4" w:space="0" w:color="808080"/>
            </w:tcBorders>
          </w:tcPr>
          <w:p w14:paraId="011BAB4E" w14:textId="11B38967" w:rsidR="004E21D9" w:rsidRPr="00F45990" w:rsidRDefault="004E21D9" w:rsidP="00557B5F">
            <w:pPr>
              <w:spacing w:before="100" w:beforeAutospacing="1" w:after="100" w:afterAutospacing="1"/>
              <w:rPr>
                <w:rFonts w:cs="Arial"/>
                <w:sz w:val="22"/>
                <w:szCs w:val="20"/>
                <w:lang w:val="en-US"/>
              </w:rPr>
            </w:pPr>
            <w:r w:rsidRPr="004E21D9">
              <w:rPr>
                <w:rFonts w:cs="Arial"/>
                <w:sz w:val="22"/>
                <w:szCs w:val="20"/>
                <w:lang w:val="en-US"/>
              </w:rPr>
              <w:t>A willingness to travel internationally</w:t>
            </w:r>
            <w:r>
              <w:rPr>
                <w:rFonts w:cs="Arial"/>
                <w:sz w:val="22"/>
                <w:szCs w:val="20"/>
                <w:lang w:val="en-US"/>
              </w:rPr>
              <w:t xml:space="preserve"> ( 6-8weeks per year)</w:t>
            </w:r>
          </w:p>
        </w:tc>
        <w:tc>
          <w:tcPr>
            <w:tcW w:w="1317" w:type="dxa"/>
            <w:tcBorders>
              <w:top w:val="single" w:sz="4" w:space="0" w:color="808080"/>
              <w:left w:val="single" w:sz="4" w:space="0" w:color="808080"/>
              <w:bottom w:val="single" w:sz="4" w:space="0" w:color="808080"/>
              <w:right w:val="single" w:sz="4" w:space="0" w:color="808080"/>
            </w:tcBorders>
            <w:tcMar>
              <w:left w:w="57" w:type="dxa"/>
              <w:right w:w="57" w:type="dxa"/>
            </w:tcMar>
          </w:tcPr>
          <w:p w14:paraId="1D878357" w14:textId="2FAAEC51" w:rsidR="004E21D9" w:rsidRDefault="004E21D9" w:rsidP="00EC174C">
            <w:pPr>
              <w:rPr>
                <w:sz w:val="16"/>
                <w:szCs w:val="16"/>
              </w:rPr>
            </w:pPr>
            <w:r>
              <w:rPr>
                <w:sz w:val="16"/>
                <w:szCs w:val="16"/>
              </w:rPr>
              <w:t>Essential</w:t>
            </w:r>
          </w:p>
        </w:tc>
      </w:tr>
    </w:tbl>
    <w:p w14:paraId="0AE70A4A" w14:textId="77777777" w:rsidR="00267E67" w:rsidRPr="00FD3201" w:rsidRDefault="00267E67" w:rsidP="00267E67">
      <w:pPr>
        <w:rPr>
          <w:sz w:val="16"/>
          <w:szCs w:val="16"/>
        </w:rPr>
        <w:sectPr w:rsidR="00267E67" w:rsidRPr="00FD3201">
          <w:type w:val="continuous"/>
          <w:pgSz w:w="11906" w:h="16838"/>
          <w:pgMar w:top="1079" w:right="1106" w:bottom="794" w:left="1080" w:header="709" w:footer="489" w:gutter="0"/>
          <w:cols w:space="708"/>
          <w:formProt w:val="0"/>
          <w:docGrid w:linePitch="360"/>
        </w:sectPr>
      </w:pPr>
    </w:p>
    <w:p w14:paraId="5C826E28" w14:textId="77777777" w:rsidR="00831A14" w:rsidRDefault="00831A14" w:rsidP="00267E67">
      <w:pPr>
        <w:pStyle w:val="Heading3"/>
        <w:rPr>
          <w:rFonts w:ascii="Arial" w:hAnsi="Arial"/>
          <w:bCs w:val="0"/>
          <w:szCs w:val="24"/>
        </w:rPr>
      </w:pPr>
    </w:p>
    <w:p w14:paraId="12C8D3FE" w14:textId="77777777" w:rsidR="00267E67" w:rsidRDefault="00267E67" w:rsidP="00267E67">
      <w:pPr>
        <w:pStyle w:val="Heading3"/>
        <w:rPr>
          <w:rFonts w:ascii="Arial" w:hAnsi="Arial"/>
          <w:bCs w:val="0"/>
          <w:szCs w:val="24"/>
        </w:rPr>
      </w:pPr>
      <w:r>
        <w:rPr>
          <w:rFonts w:ascii="Arial" w:hAnsi="Arial"/>
          <w:bCs w:val="0"/>
          <w:szCs w:val="24"/>
        </w:rPr>
        <w:t>Other Requirements</w:t>
      </w:r>
    </w:p>
    <w:p w14:paraId="4A1F0262" w14:textId="4C716AAC" w:rsidR="009A301B" w:rsidRDefault="009A301B" w:rsidP="00267E67">
      <w:r w:rsidRPr="009A301B">
        <w:t>Burnet is committed to the safeguarding of children and vulnerable adults and as a consequence we undertake rigorous recruitment and selection processes, including comprehensive reference checking on prospective employees. The successful applicant will also be required to apply for a criminal record check from the Australian Federal Police or a Working with Ch</w:t>
      </w:r>
      <w:r>
        <w:t>ildren Check where applicable as a condition of their employment.</w:t>
      </w:r>
    </w:p>
    <w:p w14:paraId="785CBE43" w14:textId="77777777" w:rsidR="00267E67" w:rsidRDefault="00267E67" w:rsidP="00267E67"/>
    <w:p w14:paraId="18FBFAAA" w14:textId="77777777" w:rsidR="003C660A" w:rsidRPr="000D7D1F" w:rsidRDefault="00831A14" w:rsidP="003C660A">
      <w:pPr>
        <w:rPr>
          <w:rFonts w:ascii="Arial Narrow" w:hAnsi="Arial Narrow"/>
          <w:b/>
          <w:sz w:val="24"/>
        </w:rPr>
      </w:pPr>
      <w:r>
        <w:rPr>
          <w:rFonts w:ascii="Arial Narrow" w:hAnsi="Arial Narrow"/>
          <w:b/>
          <w:sz w:val="24"/>
        </w:rPr>
        <w:t xml:space="preserve">SECTION D: </w:t>
      </w:r>
      <w:r w:rsidR="003C660A" w:rsidRPr="000D7D1F">
        <w:rPr>
          <w:rFonts w:ascii="Arial Narrow" w:hAnsi="Arial Narrow"/>
          <w:b/>
          <w:sz w:val="24"/>
        </w:rPr>
        <w:t>Burnet Overview</w:t>
      </w:r>
    </w:p>
    <w:p w14:paraId="15CC1C02" w14:textId="77777777" w:rsidR="003C660A" w:rsidRDefault="003C660A" w:rsidP="003C660A">
      <w:pPr>
        <w:rPr>
          <w:rFonts w:cs="Arial"/>
          <w:szCs w:val="20"/>
          <w:lang w:val="en-US"/>
        </w:rPr>
      </w:pPr>
    </w:p>
    <w:p w14:paraId="525B40CF" w14:textId="77777777" w:rsidR="003C660A" w:rsidRPr="009268D6" w:rsidRDefault="003C660A" w:rsidP="003C660A">
      <w:pPr>
        <w:rPr>
          <w:rFonts w:cs="Arial"/>
          <w:sz w:val="22"/>
          <w:szCs w:val="20"/>
          <w:lang w:val="en-US"/>
        </w:rPr>
      </w:pPr>
      <w:r w:rsidRPr="009268D6">
        <w:rPr>
          <w:rFonts w:cs="Arial"/>
          <w:sz w:val="22"/>
          <w:szCs w:val="20"/>
          <w:lang w:val="en-US"/>
        </w:rPr>
        <w:t>Burnet Institute is a leading Australian medical research and public health organisation focused on achieving better health for vulnerable communities in Australia and internationally by accelerating the translation of research, discovery and evidence into sustainable health solutions. The Institute is headquartered in Melbourne with programs that operate across Asia, the Pacific and in Africa.</w:t>
      </w:r>
    </w:p>
    <w:p w14:paraId="11D21500" w14:textId="77777777" w:rsidR="003C660A" w:rsidRPr="009268D6" w:rsidRDefault="003C660A" w:rsidP="003C660A">
      <w:pPr>
        <w:spacing w:before="100" w:beforeAutospacing="1" w:after="100" w:afterAutospacing="1"/>
        <w:rPr>
          <w:rFonts w:cs="Arial"/>
          <w:sz w:val="22"/>
          <w:szCs w:val="20"/>
          <w:lang w:val="en-US"/>
        </w:rPr>
      </w:pPr>
      <w:r w:rsidRPr="009268D6">
        <w:rPr>
          <w:rFonts w:cs="Arial"/>
          <w:sz w:val="22"/>
          <w:szCs w:val="20"/>
          <w:lang w:val="en-US"/>
        </w:rPr>
        <w:t>Burnet’s culture links innovative discovery-oriented research and implementation research with development and humanitarian action. World-class laboratory and field-based research is integrated into multidisciplinary programs aimed at the prevention, detection and treatment of diseases of global significance. This unique approach allows the Institute to make a tangible and sustainable impact on health in both developed and developing countries.</w:t>
      </w:r>
    </w:p>
    <w:p w14:paraId="1653E061" w14:textId="39B99B81" w:rsidR="003C660A" w:rsidRPr="00CB1D68" w:rsidRDefault="003C660A" w:rsidP="00CB1D68">
      <w:pPr>
        <w:spacing w:before="100" w:beforeAutospacing="1" w:after="100" w:afterAutospacing="1"/>
        <w:rPr>
          <w:rFonts w:cs="Arial"/>
          <w:sz w:val="22"/>
          <w:szCs w:val="20"/>
          <w:lang w:val="en-US"/>
        </w:rPr>
      </w:pPr>
      <w:r w:rsidRPr="009268D6">
        <w:rPr>
          <w:rFonts w:cs="Arial"/>
          <w:sz w:val="22"/>
          <w:szCs w:val="20"/>
          <w:lang w:val="en-US"/>
        </w:rPr>
        <w:t xml:space="preserve">The Institute has three major thematic programs – Disease Elimination, Behaviours and Health Risk, and Maternal and Child Health, and two expansion programs – Healthy Ageing and Health Security.  Staff within these Programs are supported by cross-cutting communities of practice; the disciplines of Life Sciences, Public Health and International Development. </w:t>
      </w:r>
    </w:p>
    <w:p w14:paraId="2AD3ABA0" w14:textId="77777777" w:rsidR="006A2487" w:rsidRPr="00FD3201" w:rsidRDefault="006A2487" w:rsidP="006A2487">
      <w:pPr>
        <w:pStyle w:val="Heading3"/>
        <w:rPr>
          <w:sz w:val="16"/>
          <w:szCs w:val="16"/>
        </w:rPr>
      </w:pPr>
      <w:r w:rsidRPr="00FD3201">
        <w:rPr>
          <w:sz w:val="16"/>
          <w:szCs w:val="16"/>
        </w:rPr>
        <w:t>Further Information:</w:t>
      </w:r>
    </w:p>
    <w:tbl>
      <w:tblPr>
        <w:tblW w:w="9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720"/>
      </w:tblGrid>
      <w:tr w:rsidR="006A2487" w:rsidRPr="00FD3201" w14:paraId="68F303CC" w14:textId="77777777" w:rsidTr="00EC174C">
        <w:tc>
          <w:tcPr>
            <w:tcW w:w="9720" w:type="dxa"/>
            <w:tcBorders>
              <w:top w:val="single" w:sz="2" w:space="0" w:color="auto"/>
              <w:left w:val="single" w:sz="2" w:space="0" w:color="auto"/>
              <w:bottom w:val="single" w:sz="2" w:space="0" w:color="auto"/>
              <w:right w:val="single" w:sz="2" w:space="0" w:color="auto"/>
            </w:tcBorders>
            <w:shd w:val="clear" w:color="auto" w:fill="D9D9D9"/>
            <w:tcMar>
              <w:top w:w="113" w:type="dxa"/>
              <w:bottom w:w="113" w:type="dxa"/>
            </w:tcMar>
          </w:tcPr>
          <w:p w14:paraId="0FD3C601" w14:textId="2FDC83D0" w:rsidR="006A2487" w:rsidRDefault="006A2487" w:rsidP="00EC174C">
            <w:pPr>
              <w:tabs>
                <w:tab w:val="left" w:pos="5112"/>
                <w:tab w:val="left" w:pos="7632"/>
              </w:tabs>
              <w:rPr>
                <w:sz w:val="16"/>
                <w:szCs w:val="16"/>
              </w:rPr>
            </w:pPr>
            <w:r w:rsidRPr="00FD3201">
              <w:rPr>
                <w:sz w:val="16"/>
                <w:szCs w:val="16"/>
              </w:rPr>
              <w:t xml:space="preserve">For further information, please contact </w:t>
            </w:r>
            <w:r w:rsidR="00CB1D68">
              <w:rPr>
                <w:sz w:val="16"/>
                <w:szCs w:val="16"/>
              </w:rPr>
              <w:t xml:space="preserve">: Anita Cranwell </w:t>
            </w:r>
            <w:hyperlink r:id="rId16" w:history="1">
              <w:r w:rsidR="00CB1D68" w:rsidRPr="006330F3">
                <w:rPr>
                  <w:rStyle w:val="Hyperlink"/>
                  <w:sz w:val="16"/>
                  <w:szCs w:val="16"/>
                </w:rPr>
                <w:t>anita.cranwell@burnet.edu.au</w:t>
              </w:r>
            </w:hyperlink>
          </w:p>
          <w:p w14:paraId="156BF06B" w14:textId="66601A09" w:rsidR="00CB1D68" w:rsidRPr="00FD3201" w:rsidRDefault="00CB1D68" w:rsidP="00EC174C">
            <w:pPr>
              <w:tabs>
                <w:tab w:val="left" w:pos="5112"/>
                <w:tab w:val="left" w:pos="7632"/>
              </w:tabs>
              <w:rPr>
                <w:sz w:val="16"/>
                <w:szCs w:val="16"/>
              </w:rPr>
            </w:pPr>
          </w:p>
        </w:tc>
      </w:tr>
    </w:tbl>
    <w:p w14:paraId="4DE59B86" w14:textId="77777777" w:rsidR="003C660A" w:rsidRDefault="003C660A" w:rsidP="00267E67">
      <w:pPr>
        <w:rPr>
          <w:sz w:val="16"/>
          <w:szCs w:val="16"/>
        </w:rPr>
      </w:pPr>
    </w:p>
    <w:p w14:paraId="7C8C4B87" w14:textId="77777777" w:rsidR="00267E67" w:rsidRPr="00FD3201" w:rsidRDefault="001E513C" w:rsidP="00267E67">
      <w:pPr>
        <w:rPr>
          <w:sz w:val="16"/>
          <w:szCs w:val="16"/>
        </w:rPr>
      </w:pPr>
      <w:r>
        <w:rPr>
          <w:sz w:val="16"/>
          <w:szCs w:val="16"/>
        </w:rPr>
        <w:pict w14:anchorId="23C3C4D8">
          <v:rect id="_x0000_i1025" style="width:0;height:1.5pt" o:hralign="center" o:hrstd="t" o:hr="t" fillcolor="gray" stroked="f">
            <v:imagedata r:id="rId17" o:title=""/>
          </v:rect>
        </w:pict>
      </w:r>
    </w:p>
    <w:p w14:paraId="2D3A70CE" w14:textId="77777777" w:rsidR="00267E67" w:rsidRPr="00A727EA" w:rsidRDefault="00267E67" w:rsidP="00267E67">
      <w:pPr>
        <w:tabs>
          <w:tab w:val="left" w:pos="4176"/>
        </w:tabs>
        <w:rPr>
          <w:sz w:val="16"/>
          <w:szCs w:val="16"/>
        </w:rPr>
      </w:pPr>
    </w:p>
    <w:p w14:paraId="360664EE" w14:textId="77777777" w:rsidR="00DD281E" w:rsidRDefault="00DD281E"/>
    <w:sectPr w:rsidR="00DD281E" w:rsidSect="00EC174C">
      <w:headerReference w:type="even" r:id="rId18"/>
      <w:footerReference w:type="default" r:id="rId19"/>
      <w:footerReference w:type="first" r:id="rId20"/>
      <w:type w:val="continuous"/>
      <w:pgSz w:w="11906" w:h="16838"/>
      <w:pgMar w:top="1134" w:right="1106" w:bottom="1134" w:left="1134"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81FCB" w14:textId="77777777" w:rsidR="002D353A" w:rsidRDefault="002D353A">
      <w:pPr>
        <w:spacing w:before="0" w:after="0"/>
      </w:pPr>
      <w:r>
        <w:separator/>
      </w:r>
    </w:p>
  </w:endnote>
  <w:endnote w:type="continuationSeparator" w:id="0">
    <w:p w14:paraId="1DA5FBAB" w14:textId="77777777" w:rsidR="002D353A" w:rsidRDefault="002D35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9C2FC" w14:textId="77777777" w:rsidR="00EC174C" w:rsidRDefault="00EC1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D22C3" w14:textId="77777777" w:rsidR="00EC174C" w:rsidRDefault="00EC1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40CC0" w14:textId="77777777" w:rsidR="00EC174C" w:rsidRDefault="00EC174C">
    <w:pPr>
      <w:rPr>
        <w:noProof/>
        <w:lang w:val="en-US"/>
      </w:rPr>
    </w:pPr>
  </w:p>
  <w:p w14:paraId="606A00C2" w14:textId="77777777" w:rsidR="00EC174C" w:rsidRDefault="00EC174C">
    <w:r>
      <w:rPr>
        <w:noProof/>
        <w:lang w:val="en-US"/>
      </w:rPr>
      <w:t>burne University of Technology</w:t>
    </w:r>
    <w:r>
      <w:rPr>
        <w:noProof/>
        <w:lang w:val="en-US"/>
      </w:rPr>
      <w:tab/>
      <w:t xml:space="preserve">Page </w:t>
    </w:r>
    <w:r>
      <w:fldChar w:fldCharType="begin"/>
    </w:r>
    <w:r>
      <w:instrText xml:space="preserve"> PAGE </w:instrText>
    </w:r>
    <w:r>
      <w:fldChar w:fldCharType="separate"/>
    </w:r>
    <w:r>
      <w:rPr>
        <w:noProof/>
      </w:rPr>
      <w:t>1</w:t>
    </w:r>
    <w:r>
      <w:fldChar w:fldCharType="end"/>
    </w:r>
  </w:p>
  <w:p w14:paraId="5DABF89A" w14:textId="77777777" w:rsidR="00EC174C" w:rsidRDefault="00EC174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3BB8A" w14:textId="77777777" w:rsidR="00EC174C" w:rsidRDefault="00EC17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25670" w14:textId="77777777" w:rsidR="00EC174C" w:rsidRDefault="00EC174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ACE31" w14:textId="77777777" w:rsidR="00EC174C" w:rsidRDefault="00EC174C">
    <w:r>
      <w:rPr>
        <w:noProof/>
        <w:lang w:val="en-US"/>
      </w:rPr>
      <w:t>Swinburne University of Technology</w:t>
    </w:r>
    <w:r>
      <w:rPr>
        <w:noProof/>
        <w:lang w:val="en-US"/>
      </w:rPr>
      <w:tab/>
      <w:t xml:space="preserve">Page </w:t>
    </w:r>
    <w:r>
      <w:fldChar w:fldCharType="begin"/>
    </w:r>
    <w:r>
      <w:instrText xml:space="preserve"> PAGE </w:instrText>
    </w:r>
    <w:r>
      <w:fldChar w:fldCharType="separate"/>
    </w:r>
    <w:r>
      <w:rPr>
        <w:noProof/>
      </w:rPr>
      <w:t>1</w:t>
    </w:r>
    <w:r>
      <w:fldChar w:fldCharType="end"/>
    </w:r>
  </w:p>
  <w:p w14:paraId="4D752037" w14:textId="77777777" w:rsidR="00EC174C" w:rsidRDefault="00EC174C"/>
  <w:p w14:paraId="2161C5D5" w14:textId="77777777" w:rsidR="00EC174C" w:rsidRDefault="00EC174C"/>
  <w:p w14:paraId="3EEF4CC7" w14:textId="77777777" w:rsidR="00EC174C" w:rsidRDefault="00EC17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BF03C" w14:textId="77777777" w:rsidR="002D353A" w:rsidRDefault="002D353A">
      <w:pPr>
        <w:spacing w:before="0" w:after="0"/>
      </w:pPr>
      <w:r>
        <w:separator/>
      </w:r>
    </w:p>
  </w:footnote>
  <w:footnote w:type="continuationSeparator" w:id="0">
    <w:p w14:paraId="3357AEE0" w14:textId="77777777" w:rsidR="002D353A" w:rsidRDefault="002D353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8C27" w14:textId="77777777" w:rsidR="00EC174C" w:rsidRDefault="00EC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37C5D" w14:textId="77777777" w:rsidR="00EC174C" w:rsidRDefault="00EC1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B855" w14:textId="77777777" w:rsidR="00EC174C" w:rsidRDefault="00EC17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ECC57" w14:textId="77777777" w:rsidR="00EC174C" w:rsidRDefault="00EC174C"/>
  <w:p w14:paraId="68A214A6" w14:textId="77777777" w:rsidR="00EC174C" w:rsidRDefault="00EC17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7B17"/>
    <w:multiLevelType w:val="hybridMultilevel"/>
    <w:tmpl w:val="099AB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1843BA"/>
    <w:multiLevelType w:val="hybridMultilevel"/>
    <w:tmpl w:val="E68E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846B8"/>
    <w:multiLevelType w:val="hybridMultilevel"/>
    <w:tmpl w:val="C7B4DCFE"/>
    <w:lvl w:ilvl="0" w:tplc="1BA259D4">
      <w:start w:val="1"/>
      <w:numFmt w:val="decimal"/>
      <w:lvlText w:val="%1."/>
      <w:lvlJc w:val="left"/>
      <w:pPr>
        <w:tabs>
          <w:tab w:val="num" w:pos="360"/>
        </w:tabs>
        <w:ind w:left="360" w:hanging="360"/>
      </w:pPr>
      <w:rPr>
        <w:rFonts w:cs="Times New Roman" w:hint="default"/>
        <w:b/>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41F7D63"/>
    <w:multiLevelType w:val="hybridMultilevel"/>
    <w:tmpl w:val="4D46F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F14419"/>
    <w:multiLevelType w:val="hybridMultilevel"/>
    <w:tmpl w:val="4578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0176D7"/>
    <w:multiLevelType w:val="hybridMultilevel"/>
    <w:tmpl w:val="A8125B30"/>
    <w:lvl w:ilvl="0" w:tplc="1BA259D4">
      <w:start w:val="1"/>
      <w:numFmt w:val="decimal"/>
      <w:lvlText w:val="%1."/>
      <w:lvlJc w:val="left"/>
      <w:pPr>
        <w:tabs>
          <w:tab w:val="num" w:pos="669"/>
        </w:tabs>
        <w:ind w:left="669" w:hanging="360"/>
      </w:pPr>
      <w:rPr>
        <w:rFonts w:cs="Times New Roman" w:hint="default"/>
        <w:b/>
        <w:sz w:val="16"/>
        <w:szCs w:val="16"/>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6">
    <w:nsid w:val="46904647"/>
    <w:multiLevelType w:val="hybridMultilevel"/>
    <w:tmpl w:val="B6902ADC"/>
    <w:lvl w:ilvl="0" w:tplc="1BA259D4">
      <w:start w:val="1"/>
      <w:numFmt w:val="decimal"/>
      <w:lvlText w:val="%1."/>
      <w:lvlJc w:val="left"/>
      <w:pPr>
        <w:tabs>
          <w:tab w:val="num" w:pos="360"/>
        </w:tabs>
        <w:ind w:left="360" w:hanging="360"/>
      </w:pPr>
      <w:rPr>
        <w:rFonts w:cs="Times New Roman" w:hint="default"/>
        <w:b/>
        <w:sz w:val="16"/>
        <w:szCs w:val="16"/>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7">
    <w:nsid w:val="5D5419F3"/>
    <w:multiLevelType w:val="hybridMultilevel"/>
    <w:tmpl w:val="8154E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6E69D4"/>
    <w:multiLevelType w:val="hybridMultilevel"/>
    <w:tmpl w:val="6888B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8"/>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67"/>
    <w:rsid w:val="000D7D1F"/>
    <w:rsid w:val="001079C1"/>
    <w:rsid w:val="001C1DB6"/>
    <w:rsid w:val="001D0CCE"/>
    <w:rsid w:val="001E513C"/>
    <w:rsid w:val="00267E67"/>
    <w:rsid w:val="0028204E"/>
    <w:rsid w:val="002D353A"/>
    <w:rsid w:val="003870F4"/>
    <w:rsid w:val="003A6AF6"/>
    <w:rsid w:val="003C0DF1"/>
    <w:rsid w:val="003C660A"/>
    <w:rsid w:val="004001BB"/>
    <w:rsid w:val="004E21D9"/>
    <w:rsid w:val="00557B5F"/>
    <w:rsid w:val="005A15D2"/>
    <w:rsid w:val="005E4B9D"/>
    <w:rsid w:val="006A2487"/>
    <w:rsid w:val="006C3486"/>
    <w:rsid w:val="007214A9"/>
    <w:rsid w:val="007D51F1"/>
    <w:rsid w:val="007E276B"/>
    <w:rsid w:val="00831A14"/>
    <w:rsid w:val="008372C0"/>
    <w:rsid w:val="00874E98"/>
    <w:rsid w:val="008854F4"/>
    <w:rsid w:val="009A301B"/>
    <w:rsid w:val="009B7304"/>
    <w:rsid w:val="009C413E"/>
    <w:rsid w:val="00A53E2A"/>
    <w:rsid w:val="00A810CA"/>
    <w:rsid w:val="00BF1831"/>
    <w:rsid w:val="00C66A2C"/>
    <w:rsid w:val="00CB1D68"/>
    <w:rsid w:val="00D63953"/>
    <w:rsid w:val="00DD281E"/>
    <w:rsid w:val="00EA5B09"/>
    <w:rsid w:val="00EC174C"/>
    <w:rsid w:val="00F67C99"/>
    <w:rsid w:val="00F902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43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67"/>
    <w:pPr>
      <w:spacing w:before="60" w:after="60" w:line="240" w:lineRule="auto"/>
      <w:jc w:val="both"/>
    </w:pPr>
    <w:rPr>
      <w:rFonts w:ascii="Arial" w:eastAsia="Times New Roman" w:hAnsi="Arial" w:cs="Times New Roman"/>
      <w:sz w:val="20"/>
      <w:szCs w:val="24"/>
    </w:rPr>
  </w:style>
  <w:style w:type="paragraph" w:styleId="Heading1">
    <w:name w:val="heading 1"/>
    <w:basedOn w:val="Heading3"/>
    <w:next w:val="Normal"/>
    <w:link w:val="Heading1Char"/>
    <w:qFormat/>
    <w:rsid w:val="00267E67"/>
    <w:pPr>
      <w:pBdr>
        <w:bottom w:val="single" w:sz="4" w:space="1" w:color="auto"/>
      </w:pBdr>
      <w:tabs>
        <w:tab w:val="left" w:pos="3060"/>
      </w:tabs>
      <w:spacing w:before="0"/>
      <w:outlineLvl w:val="0"/>
    </w:pPr>
    <w:rPr>
      <w:sz w:val="32"/>
    </w:rPr>
  </w:style>
  <w:style w:type="paragraph" w:styleId="Heading2">
    <w:name w:val="heading 2"/>
    <w:basedOn w:val="Heading6"/>
    <w:next w:val="Normal"/>
    <w:link w:val="Heading2Char"/>
    <w:autoRedefine/>
    <w:qFormat/>
    <w:rsid w:val="00267E67"/>
    <w:pPr>
      <w:keepLines w:val="0"/>
      <w:spacing w:before="360" w:after="60"/>
      <w:outlineLvl w:val="1"/>
    </w:pPr>
    <w:rPr>
      <w:rFonts w:ascii="Arial Narrow" w:eastAsia="Times New Roman" w:hAnsi="Arial Narrow" w:cs="Times New Roman"/>
      <w:b/>
      <w:bCs/>
      <w:i w:val="0"/>
      <w:iCs w:val="0"/>
      <w:color w:val="auto"/>
      <w:sz w:val="24"/>
      <w:szCs w:val="16"/>
    </w:rPr>
  </w:style>
  <w:style w:type="paragraph" w:styleId="Heading3">
    <w:name w:val="heading 3"/>
    <w:basedOn w:val="Normal"/>
    <w:next w:val="Normal"/>
    <w:link w:val="Heading3Char"/>
    <w:qFormat/>
    <w:rsid w:val="00267E67"/>
    <w:pPr>
      <w:spacing w:before="120"/>
      <w:outlineLvl w:val="2"/>
    </w:pPr>
    <w:rPr>
      <w:rFonts w:ascii="Arial Narrow" w:hAnsi="Arial Narrow"/>
      <w:b/>
      <w:bCs/>
      <w:sz w:val="24"/>
      <w:szCs w:val="20"/>
    </w:rPr>
  </w:style>
  <w:style w:type="paragraph" w:styleId="Heading4">
    <w:name w:val="heading 4"/>
    <w:basedOn w:val="Normal"/>
    <w:next w:val="Normal"/>
    <w:link w:val="Heading4Char"/>
    <w:qFormat/>
    <w:rsid w:val="00267E67"/>
    <w:pPr>
      <w:spacing w:before="20" w:after="20"/>
      <w:outlineLvl w:val="3"/>
    </w:pPr>
    <w:rPr>
      <w:b/>
      <w:sz w:val="22"/>
      <w:szCs w:val="22"/>
    </w:rPr>
  </w:style>
  <w:style w:type="paragraph" w:styleId="Heading5">
    <w:name w:val="heading 5"/>
    <w:basedOn w:val="Heading7"/>
    <w:next w:val="Normal"/>
    <w:link w:val="Heading5Char"/>
    <w:qFormat/>
    <w:rsid w:val="00267E67"/>
    <w:pPr>
      <w:keepLines w:val="0"/>
      <w:spacing w:before="60" w:after="60"/>
      <w:jc w:val="left"/>
      <w:outlineLvl w:val="4"/>
    </w:pPr>
    <w:rPr>
      <w:rFonts w:ascii="Arial" w:eastAsia="Times New Roman" w:hAnsi="Arial" w:cs="Arial"/>
      <w:b/>
      <w:bCs/>
      <w:i w:val="0"/>
      <w:iCs w:val="0"/>
      <w:smallCaps/>
      <w:color w:val="auto"/>
      <w:szCs w:val="20"/>
    </w:rPr>
  </w:style>
  <w:style w:type="paragraph" w:styleId="Heading6">
    <w:name w:val="heading 6"/>
    <w:basedOn w:val="Normal"/>
    <w:next w:val="Normal"/>
    <w:link w:val="Heading6Char"/>
    <w:uiPriority w:val="9"/>
    <w:semiHidden/>
    <w:unhideWhenUsed/>
    <w:qFormat/>
    <w:rsid w:val="00267E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7E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267E67"/>
    <w:pPr>
      <w:keepNext/>
      <w:tabs>
        <w:tab w:val="left" w:pos="284"/>
      </w:tabs>
      <w:spacing w:line="260" w:lineRule="exact"/>
      <w:outlineLvl w:val="7"/>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E67"/>
    <w:rPr>
      <w:rFonts w:ascii="Arial Narrow" w:eastAsia="Times New Roman" w:hAnsi="Arial Narrow" w:cs="Times New Roman"/>
      <w:b/>
      <w:bCs/>
      <w:sz w:val="32"/>
      <w:szCs w:val="20"/>
    </w:rPr>
  </w:style>
  <w:style w:type="character" w:customStyle="1" w:styleId="Heading2Char">
    <w:name w:val="Heading 2 Char"/>
    <w:basedOn w:val="DefaultParagraphFont"/>
    <w:link w:val="Heading2"/>
    <w:rsid w:val="00267E67"/>
    <w:rPr>
      <w:rFonts w:ascii="Arial Narrow" w:eastAsia="Times New Roman" w:hAnsi="Arial Narrow" w:cs="Times New Roman"/>
      <w:b/>
      <w:bCs/>
      <w:sz w:val="24"/>
      <w:szCs w:val="16"/>
    </w:rPr>
  </w:style>
  <w:style w:type="character" w:customStyle="1" w:styleId="Heading3Char">
    <w:name w:val="Heading 3 Char"/>
    <w:basedOn w:val="DefaultParagraphFont"/>
    <w:link w:val="Heading3"/>
    <w:rsid w:val="00267E67"/>
    <w:rPr>
      <w:rFonts w:ascii="Arial Narrow" w:eastAsia="Times New Roman" w:hAnsi="Arial Narrow" w:cs="Times New Roman"/>
      <w:b/>
      <w:bCs/>
      <w:sz w:val="24"/>
      <w:szCs w:val="20"/>
    </w:rPr>
  </w:style>
  <w:style w:type="character" w:customStyle="1" w:styleId="Heading4Char">
    <w:name w:val="Heading 4 Char"/>
    <w:basedOn w:val="DefaultParagraphFont"/>
    <w:link w:val="Heading4"/>
    <w:rsid w:val="00267E67"/>
    <w:rPr>
      <w:rFonts w:ascii="Arial" w:eastAsia="Times New Roman" w:hAnsi="Arial" w:cs="Times New Roman"/>
      <w:b/>
    </w:rPr>
  </w:style>
  <w:style w:type="character" w:customStyle="1" w:styleId="Heading5Char">
    <w:name w:val="Heading 5 Char"/>
    <w:basedOn w:val="DefaultParagraphFont"/>
    <w:link w:val="Heading5"/>
    <w:rsid w:val="00267E67"/>
    <w:rPr>
      <w:rFonts w:ascii="Arial" w:eastAsia="Times New Roman" w:hAnsi="Arial" w:cs="Arial"/>
      <w:b/>
      <w:bCs/>
      <w:smallCaps/>
      <w:sz w:val="20"/>
      <w:szCs w:val="20"/>
    </w:rPr>
  </w:style>
  <w:style w:type="character" w:customStyle="1" w:styleId="Heading8Char">
    <w:name w:val="Heading 8 Char"/>
    <w:basedOn w:val="DefaultParagraphFont"/>
    <w:link w:val="Heading8"/>
    <w:rsid w:val="00267E67"/>
    <w:rPr>
      <w:rFonts w:ascii="Arial" w:eastAsia="Times New Roman" w:hAnsi="Arial" w:cs="Times New Roman"/>
      <w:b/>
      <w:bCs/>
      <w:i/>
      <w:iCs/>
      <w:sz w:val="20"/>
      <w:szCs w:val="20"/>
    </w:rPr>
  </w:style>
  <w:style w:type="paragraph" w:styleId="Footer">
    <w:name w:val="footer"/>
    <w:basedOn w:val="Normal"/>
    <w:link w:val="FooterChar"/>
    <w:rsid w:val="00267E67"/>
    <w:pPr>
      <w:tabs>
        <w:tab w:val="center" w:pos="4153"/>
        <w:tab w:val="right" w:pos="8306"/>
      </w:tabs>
    </w:pPr>
  </w:style>
  <w:style w:type="character" w:customStyle="1" w:styleId="FooterChar">
    <w:name w:val="Footer Char"/>
    <w:basedOn w:val="DefaultParagraphFont"/>
    <w:link w:val="Footer"/>
    <w:rsid w:val="00267E67"/>
    <w:rPr>
      <w:rFonts w:ascii="Arial" w:eastAsia="Times New Roman" w:hAnsi="Arial" w:cs="Times New Roman"/>
      <w:sz w:val="20"/>
      <w:szCs w:val="24"/>
    </w:rPr>
  </w:style>
  <w:style w:type="character" w:customStyle="1" w:styleId="Heading6Char">
    <w:name w:val="Heading 6 Char"/>
    <w:basedOn w:val="DefaultParagraphFont"/>
    <w:link w:val="Heading6"/>
    <w:uiPriority w:val="9"/>
    <w:semiHidden/>
    <w:rsid w:val="00267E67"/>
    <w:rPr>
      <w:rFonts w:asciiTheme="majorHAnsi" w:eastAsiaTheme="majorEastAsia" w:hAnsiTheme="majorHAnsi" w:cstheme="majorBidi"/>
      <w:i/>
      <w:iCs/>
      <w:color w:val="243F60" w:themeColor="accent1" w:themeShade="7F"/>
      <w:sz w:val="20"/>
      <w:szCs w:val="24"/>
    </w:rPr>
  </w:style>
  <w:style w:type="character" w:customStyle="1" w:styleId="Heading7Char">
    <w:name w:val="Heading 7 Char"/>
    <w:basedOn w:val="DefaultParagraphFont"/>
    <w:link w:val="Heading7"/>
    <w:uiPriority w:val="9"/>
    <w:semiHidden/>
    <w:rsid w:val="00267E67"/>
    <w:rPr>
      <w:rFonts w:asciiTheme="majorHAnsi" w:eastAsiaTheme="majorEastAsia" w:hAnsiTheme="majorHAnsi" w:cstheme="majorBidi"/>
      <w:i/>
      <w:iCs/>
      <w:color w:val="404040" w:themeColor="text1" w:themeTint="BF"/>
      <w:sz w:val="20"/>
      <w:szCs w:val="24"/>
    </w:rPr>
  </w:style>
  <w:style w:type="paragraph" w:styleId="BalloonText">
    <w:name w:val="Balloon Text"/>
    <w:basedOn w:val="Normal"/>
    <w:link w:val="BalloonTextChar"/>
    <w:uiPriority w:val="99"/>
    <w:semiHidden/>
    <w:unhideWhenUsed/>
    <w:rsid w:val="00267E6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67"/>
    <w:rPr>
      <w:rFonts w:ascii="Tahoma" w:eastAsia="Times New Roman" w:hAnsi="Tahoma" w:cs="Tahoma"/>
      <w:sz w:val="16"/>
      <w:szCs w:val="16"/>
    </w:rPr>
  </w:style>
  <w:style w:type="paragraph" w:styleId="Header">
    <w:name w:val="header"/>
    <w:basedOn w:val="Normal"/>
    <w:link w:val="HeaderChar"/>
    <w:uiPriority w:val="99"/>
    <w:unhideWhenUsed/>
    <w:rsid w:val="006C3486"/>
    <w:pPr>
      <w:tabs>
        <w:tab w:val="center" w:pos="4513"/>
        <w:tab w:val="right" w:pos="9026"/>
      </w:tabs>
      <w:spacing w:before="0" w:after="0"/>
    </w:pPr>
  </w:style>
  <w:style w:type="character" w:customStyle="1" w:styleId="HeaderChar">
    <w:name w:val="Header Char"/>
    <w:basedOn w:val="DefaultParagraphFont"/>
    <w:link w:val="Header"/>
    <w:uiPriority w:val="99"/>
    <w:rsid w:val="006C3486"/>
    <w:rPr>
      <w:rFonts w:ascii="Arial" w:eastAsia="Times New Roman" w:hAnsi="Arial" w:cs="Times New Roman"/>
      <w:sz w:val="20"/>
      <w:szCs w:val="24"/>
    </w:rPr>
  </w:style>
  <w:style w:type="paragraph" w:styleId="ListParagraph">
    <w:name w:val="List Paragraph"/>
    <w:basedOn w:val="Normal"/>
    <w:link w:val="ListParagraphChar"/>
    <w:uiPriority w:val="34"/>
    <w:qFormat/>
    <w:rsid w:val="008372C0"/>
    <w:pPr>
      <w:spacing w:before="0" w:after="0"/>
      <w:ind w:left="720"/>
      <w:contextualSpacing/>
      <w:jc w:val="left"/>
    </w:pPr>
    <w:rPr>
      <w:rFonts w:ascii="Times New Roman" w:hAnsi="Times New Roman"/>
      <w:sz w:val="24"/>
      <w:lang w:val="en-GB"/>
    </w:rPr>
  </w:style>
  <w:style w:type="character" w:customStyle="1" w:styleId="ListParagraphChar">
    <w:name w:val="List Paragraph Char"/>
    <w:link w:val="ListParagraph"/>
    <w:uiPriority w:val="34"/>
    <w:locked/>
    <w:rsid w:val="008372C0"/>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3C0DF1"/>
    <w:rPr>
      <w:sz w:val="16"/>
      <w:szCs w:val="16"/>
    </w:rPr>
  </w:style>
  <w:style w:type="paragraph" w:styleId="CommentText">
    <w:name w:val="annotation text"/>
    <w:basedOn w:val="Normal"/>
    <w:link w:val="CommentTextChar"/>
    <w:uiPriority w:val="99"/>
    <w:semiHidden/>
    <w:unhideWhenUsed/>
    <w:rsid w:val="003C0DF1"/>
    <w:rPr>
      <w:szCs w:val="20"/>
    </w:rPr>
  </w:style>
  <w:style w:type="character" w:customStyle="1" w:styleId="CommentTextChar">
    <w:name w:val="Comment Text Char"/>
    <w:basedOn w:val="DefaultParagraphFont"/>
    <w:link w:val="CommentText"/>
    <w:uiPriority w:val="99"/>
    <w:semiHidden/>
    <w:rsid w:val="003C0D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C0DF1"/>
    <w:rPr>
      <w:b/>
      <w:bCs/>
    </w:rPr>
  </w:style>
  <w:style w:type="character" w:customStyle="1" w:styleId="CommentSubjectChar">
    <w:name w:val="Comment Subject Char"/>
    <w:basedOn w:val="CommentTextChar"/>
    <w:link w:val="CommentSubject"/>
    <w:uiPriority w:val="99"/>
    <w:semiHidden/>
    <w:rsid w:val="003C0DF1"/>
    <w:rPr>
      <w:rFonts w:ascii="Arial" w:eastAsia="Times New Roman" w:hAnsi="Arial" w:cs="Times New Roman"/>
      <w:b/>
      <w:bCs/>
      <w:sz w:val="20"/>
      <w:szCs w:val="20"/>
    </w:rPr>
  </w:style>
  <w:style w:type="character" w:styleId="Hyperlink">
    <w:name w:val="Hyperlink"/>
    <w:basedOn w:val="DefaultParagraphFont"/>
    <w:uiPriority w:val="99"/>
    <w:unhideWhenUsed/>
    <w:rsid w:val="00CB1D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67"/>
    <w:pPr>
      <w:spacing w:before="60" w:after="60" w:line="240" w:lineRule="auto"/>
      <w:jc w:val="both"/>
    </w:pPr>
    <w:rPr>
      <w:rFonts w:ascii="Arial" w:eastAsia="Times New Roman" w:hAnsi="Arial" w:cs="Times New Roman"/>
      <w:sz w:val="20"/>
      <w:szCs w:val="24"/>
    </w:rPr>
  </w:style>
  <w:style w:type="paragraph" w:styleId="Heading1">
    <w:name w:val="heading 1"/>
    <w:basedOn w:val="Heading3"/>
    <w:next w:val="Normal"/>
    <w:link w:val="Heading1Char"/>
    <w:qFormat/>
    <w:rsid w:val="00267E67"/>
    <w:pPr>
      <w:pBdr>
        <w:bottom w:val="single" w:sz="4" w:space="1" w:color="auto"/>
      </w:pBdr>
      <w:tabs>
        <w:tab w:val="left" w:pos="3060"/>
      </w:tabs>
      <w:spacing w:before="0"/>
      <w:outlineLvl w:val="0"/>
    </w:pPr>
    <w:rPr>
      <w:sz w:val="32"/>
    </w:rPr>
  </w:style>
  <w:style w:type="paragraph" w:styleId="Heading2">
    <w:name w:val="heading 2"/>
    <w:basedOn w:val="Heading6"/>
    <w:next w:val="Normal"/>
    <w:link w:val="Heading2Char"/>
    <w:autoRedefine/>
    <w:qFormat/>
    <w:rsid w:val="00267E67"/>
    <w:pPr>
      <w:keepLines w:val="0"/>
      <w:spacing w:before="360" w:after="60"/>
      <w:outlineLvl w:val="1"/>
    </w:pPr>
    <w:rPr>
      <w:rFonts w:ascii="Arial Narrow" w:eastAsia="Times New Roman" w:hAnsi="Arial Narrow" w:cs="Times New Roman"/>
      <w:b/>
      <w:bCs/>
      <w:i w:val="0"/>
      <w:iCs w:val="0"/>
      <w:color w:val="auto"/>
      <w:sz w:val="24"/>
      <w:szCs w:val="16"/>
    </w:rPr>
  </w:style>
  <w:style w:type="paragraph" w:styleId="Heading3">
    <w:name w:val="heading 3"/>
    <w:basedOn w:val="Normal"/>
    <w:next w:val="Normal"/>
    <w:link w:val="Heading3Char"/>
    <w:qFormat/>
    <w:rsid w:val="00267E67"/>
    <w:pPr>
      <w:spacing w:before="120"/>
      <w:outlineLvl w:val="2"/>
    </w:pPr>
    <w:rPr>
      <w:rFonts w:ascii="Arial Narrow" w:hAnsi="Arial Narrow"/>
      <w:b/>
      <w:bCs/>
      <w:sz w:val="24"/>
      <w:szCs w:val="20"/>
    </w:rPr>
  </w:style>
  <w:style w:type="paragraph" w:styleId="Heading4">
    <w:name w:val="heading 4"/>
    <w:basedOn w:val="Normal"/>
    <w:next w:val="Normal"/>
    <w:link w:val="Heading4Char"/>
    <w:qFormat/>
    <w:rsid w:val="00267E67"/>
    <w:pPr>
      <w:spacing w:before="20" w:after="20"/>
      <w:outlineLvl w:val="3"/>
    </w:pPr>
    <w:rPr>
      <w:b/>
      <w:sz w:val="22"/>
      <w:szCs w:val="22"/>
    </w:rPr>
  </w:style>
  <w:style w:type="paragraph" w:styleId="Heading5">
    <w:name w:val="heading 5"/>
    <w:basedOn w:val="Heading7"/>
    <w:next w:val="Normal"/>
    <w:link w:val="Heading5Char"/>
    <w:qFormat/>
    <w:rsid w:val="00267E67"/>
    <w:pPr>
      <w:keepLines w:val="0"/>
      <w:spacing w:before="60" w:after="60"/>
      <w:jc w:val="left"/>
      <w:outlineLvl w:val="4"/>
    </w:pPr>
    <w:rPr>
      <w:rFonts w:ascii="Arial" w:eastAsia="Times New Roman" w:hAnsi="Arial" w:cs="Arial"/>
      <w:b/>
      <w:bCs/>
      <w:i w:val="0"/>
      <w:iCs w:val="0"/>
      <w:smallCaps/>
      <w:color w:val="auto"/>
      <w:szCs w:val="20"/>
    </w:rPr>
  </w:style>
  <w:style w:type="paragraph" w:styleId="Heading6">
    <w:name w:val="heading 6"/>
    <w:basedOn w:val="Normal"/>
    <w:next w:val="Normal"/>
    <w:link w:val="Heading6Char"/>
    <w:uiPriority w:val="9"/>
    <w:semiHidden/>
    <w:unhideWhenUsed/>
    <w:qFormat/>
    <w:rsid w:val="00267E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7E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267E67"/>
    <w:pPr>
      <w:keepNext/>
      <w:tabs>
        <w:tab w:val="left" w:pos="284"/>
      </w:tabs>
      <w:spacing w:line="260" w:lineRule="exact"/>
      <w:outlineLvl w:val="7"/>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E67"/>
    <w:rPr>
      <w:rFonts w:ascii="Arial Narrow" w:eastAsia="Times New Roman" w:hAnsi="Arial Narrow" w:cs="Times New Roman"/>
      <w:b/>
      <w:bCs/>
      <w:sz w:val="32"/>
      <w:szCs w:val="20"/>
    </w:rPr>
  </w:style>
  <w:style w:type="character" w:customStyle="1" w:styleId="Heading2Char">
    <w:name w:val="Heading 2 Char"/>
    <w:basedOn w:val="DefaultParagraphFont"/>
    <w:link w:val="Heading2"/>
    <w:rsid w:val="00267E67"/>
    <w:rPr>
      <w:rFonts w:ascii="Arial Narrow" w:eastAsia="Times New Roman" w:hAnsi="Arial Narrow" w:cs="Times New Roman"/>
      <w:b/>
      <w:bCs/>
      <w:sz w:val="24"/>
      <w:szCs w:val="16"/>
    </w:rPr>
  </w:style>
  <w:style w:type="character" w:customStyle="1" w:styleId="Heading3Char">
    <w:name w:val="Heading 3 Char"/>
    <w:basedOn w:val="DefaultParagraphFont"/>
    <w:link w:val="Heading3"/>
    <w:rsid w:val="00267E67"/>
    <w:rPr>
      <w:rFonts w:ascii="Arial Narrow" w:eastAsia="Times New Roman" w:hAnsi="Arial Narrow" w:cs="Times New Roman"/>
      <w:b/>
      <w:bCs/>
      <w:sz w:val="24"/>
      <w:szCs w:val="20"/>
    </w:rPr>
  </w:style>
  <w:style w:type="character" w:customStyle="1" w:styleId="Heading4Char">
    <w:name w:val="Heading 4 Char"/>
    <w:basedOn w:val="DefaultParagraphFont"/>
    <w:link w:val="Heading4"/>
    <w:rsid w:val="00267E67"/>
    <w:rPr>
      <w:rFonts w:ascii="Arial" w:eastAsia="Times New Roman" w:hAnsi="Arial" w:cs="Times New Roman"/>
      <w:b/>
    </w:rPr>
  </w:style>
  <w:style w:type="character" w:customStyle="1" w:styleId="Heading5Char">
    <w:name w:val="Heading 5 Char"/>
    <w:basedOn w:val="DefaultParagraphFont"/>
    <w:link w:val="Heading5"/>
    <w:rsid w:val="00267E67"/>
    <w:rPr>
      <w:rFonts w:ascii="Arial" w:eastAsia="Times New Roman" w:hAnsi="Arial" w:cs="Arial"/>
      <w:b/>
      <w:bCs/>
      <w:smallCaps/>
      <w:sz w:val="20"/>
      <w:szCs w:val="20"/>
    </w:rPr>
  </w:style>
  <w:style w:type="character" w:customStyle="1" w:styleId="Heading8Char">
    <w:name w:val="Heading 8 Char"/>
    <w:basedOn w:val="DefaultParagraphFont"/>
    <w:link w:val="Heading8"/>
    <w:rsid w:val="00267E67"/>
    <w:rPr>
      <w:rFonts w:ascii="Arial" w:eastAsia="Times New Roman" w:hAnsi="Arial" w:cs="Times New Roman"/>
      <w:b/>
      <w:bCs/>
      <w:i/>
      <w:iCs/>
      <w:sz w:val="20"/>
      <w:szCs w:val="20"/>
    </w:rPr>
  </w:style>
  <w:style w:type="paragraph" w:styleId="Footer">
    <w:name w:val="footer"/>
    <w:basedOn w:val="Normal"/>
    <w:link w:val="FooterChar"/>
    <w:rsid w:val="00267E67"/>
    <w:pPr>
      <w:tabs>
        <w:tab w:val="center" w:pos="4153"/>
        <w:tab w:val="right" w:pos="8306"/>
      </w:tabs>
    </w:pPr>
  </w:style>
  <w:style w:type="character" w:customStyle="1" w:styleId="FooterChar">
    <w:name w:val="Footer Char"/>
    <w:basedOn w:val="DefaultParagraphFont"/>
    <w:link w:val="Footer"/>
    <w:rsid w:val="00267E67"/>
    <w:rPr>
      <w:rFonts w:ascii="Arial" w:eastAsia="Times New Roman" w:hAnsi="Arial" w:cs="Times New Roman"/>
      <w:sz w:val="20"/>
      <w:szCs w:val="24"/>
    </w:rPr>
  </w:style>
  <w:style w:type="character" w:customStyle="1" w:styleId="Heading6Char">
    <w:name w:val="Heading 6 Char"/>
    <w:basedOn w:val="DefaultParagraphFont"/>
    <w:link w:val="Heading6"/>
    <w:uiPriority w:val="9"/>
    <w:semiHidden/>
    <w:rsid w:val="00267E67"/>
    <w:rPr>
      <w:rFonts w:asciiTheme="majorHAnsi" w:eastAsiaTheme="majorEastAsia" w:hAnsiTheme="majorHAnsi" w:cstheme="majorBidi"/>
      <w:i/>
      <w:iCs/>
      <w:color w:val="243F60" w:themeColor="accent1" w:themeShade="7F"/>
      <w:sz w:val="20"/>
      <w:szCs w:val="24"/>
    </w:rPr>
  </w:style>
  <w:style w:type="character" w:customStyle="1" w:styleId="Heading7Char">
    <w:name w:val="Heading 7 Char"/>
    <w:basedOn w:val="DefaultParagraphFont"/>
    <w:link w:val="Heading7"/>
    <w:uiPriority w:val="9"/>
    <w:semiHidden/>
    <w:rsid w:val="00267E67"/>
    <w:rPr>
      <w:rFonts w:asciiTheme="majorHAnsi" w:eastAsiaTheme="majorEastAsia" w:hAnsiTheme="majorHAnsi" w:cstheme="majorBidi"/>
      <w:i/>
      <w:iCs/>
      <w:color w:val="404040" w:themeColor="text1" w:themeTint="BF"/>
      <w:sz w:val="20"/>
      <w:szCs w:val="24"/>
    </w:rPr>
  </w:style>
  <w:style w:type="paragraph" w:styleId="BalloonText">
    <w:name w:val="Balloon Text"/>
    <w:basedOn w:val="Normal"/>
    <w:link w:val="BalloonTextChar"/>
    <w:uiPriority w:val="99"/>
    <w:semiHidden/>
    <w:unhideWhenUsed/>
    <w:rsid w:val="00267E6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67"/>
    <w:rPr>
      <w:rFonts w:ascii="Tahoma" w:eastAsia="Times New Roman" w:hAnsi="Tahoma" w:cs="Tahoma"/>
      <w:sz w:val="16"/>
      <w:szCs w:val="16"/>
    </w:rPr>
  </w:style>
  <w:style w:type="paragraph" w:styleId="Header">
    <w:name w:val="header"/>
    <w:basedOn w:val="Normal"/>
    <w:link w:val="HeaderChar"/>
    <w:uiPriority w:val="99"/>
    <w:unhideWhenUsed/>
    <w:rsid w:val="006C3486"/>
    <w:pPr>
      <w:tabs>
        <w:tab w:val="center" w:pos="4513"/>
        <w:tab w:val="right" w:pos="9026"/>
      </w:tabs>
      <w:spacing w:before="0" w:after="0"/>
    </w:pPr>
  </w:style>
  <w:style w:type="character" w:customStyle="1" w:styleId="HeaderChar">
    <w:name w:val="Header Char"/>
    <w:basedOn w:val="DefaultParagraphFont"/>
    <w:link w:val="Header"/>
    <w:uiPriority w:val="99"/>
    <w:rsid w:val="006C3486"/>
    <w:rPr>
      <w:rFonts w:ascii="Arial" w:eastAsia="Times New Roman" w:hAnsi="Arial" w:cs="Times New Roman"/>
      <w:sz w:val="20"/>
      <w:szCs w:val="24"/>
    </w:rPr>
  </w:style>
  <w:style w:type="paragraph" w:styleId="ListParagraph">
    <w:name w:val="List Paragraph"/>
    <w:basedOn w:val="Normal"/>
    <w:link w:val="ListParagraphChar"/>
    <w:uiPriority w:val="34"/>
    <w:qFormat/>
    <w:rsid w:val="008372C0"/>
    <w:pPr>
      <w:spacing w:before="0" w:after="0"/>
      <w:ind w:left="720"/>
      <w:contextualSpacing/>
      <w:jc w:val="left"/>
    </w:pPr>
    <w:rPr>
      <w:rFonts w:ascii="Times New Roman" w:hAnsi="Times New Roman"/>
      <w:sz w:val="24"/>
      <w:lang w:val="en-GB"/>
    </w:rPr>
  </w:style>
  <w:style w:type="character" w:customStyle="1" w:styleId="ListParagraphChar">
    <w:name w:val="List Paragraph Char"/>
    <w:link w:val="ListParagraph"/>
    <w:uiPriority w:val="34"/>
    <w:locked/>
    <w:rsid w:val="008372C0"/>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3C0DF1"/>
    <w:rPr>
      <w:sz w:val="16"/>
      <w:szCs w:val="16"/>
    </w:rPr>
  </w:style>
  <w:style w:type="paragraph" w:styleId="CommentText">
    <w:name w:val="annotation text"/>
    <w:basedOn w:val="Normal"/>
    <w:link w:val="CommentTextChar"/>
    <w:uiPriority w:val="99"/>
    <w:semiHidden/>
    <w:unhideWhenUsed/>
    <w:rsid w:val="003C0DF1"/>
    <w:rPr>
      <w:szCs w:val="20"/>
    </w:rPr>
  </w:style>
  <w:style w:type="character" w:customStyle="1" w:styleId="CommentTextChar">
    <w:name w:val="Comment Text Char"/>
    <w:basedOn w:val="DefaultParagraphFont"/>
    <w:link w:val="CommentText"/>
    <w:uiPriority w:val="99"/>
    <w:semiHidden/>
    <w:rsid w:val="003C0D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C0DF1"/>
    <w:rPr>
      <w:b/>
      <w:bCs/>
    </w:rPr>
  </w:style>
  <w:style w:type="character" w:customStyle="1" w:styleId="CommentSubjectChar">
    <w:name w:val="Comment Subject Char"/>
    <w:basedOn w:val="CommentTextChar"/>
    <w:link w:val="CommentSubject"/>
    <w:uiPriority w:val="99"/>
    <w:semiHidden/>
    <w:rsid w:val="003C0DF1"/>
    <w:rPr>
      <w:rFonts w:ascii="Arial" w:eastAsia="Times New Roman" w:hAnsi="Arial" w:cs="Times New Roman"/>
      <w:b/>
      <w:bCs/>
      <w:sz w:val="20"/>
      <w:szCs w:val="20"/>
    </w:rPr>
  </w:style>
  <w:style w:type="character" w:styleId="Hyperlink">
    <w:name w:val="Hyperlink"/>
    <w:basedOn w:val="DefaultParagraphFont"/>
    <w:uiPriority w:val="99"/>
    <w:unhideWhenUsed/>
    <w:rsid w:val="00CB1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7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mailto:anita.cranwell@burnet.edu.au"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Cranwell</dc:creator>
  <cp:lastModifiedBy>Paul Duffy</cp:lastModifiedBy>
  <cp:revision>2</cp:revision>
  <dcterms:created xsi:type="dcterms:W3CDTF">2019-01-25T05:39:00Z</dcterms:created>
  <dcterms:modified xsi:type="dcterms:W3CDTF">2019-01-25T05:39:00Z</dcterms:modified>
</cp:coreProperties>
</file>